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4EBBA" w14:textId="3D4D2441" w:rsidR="002E7692" w:rsidRPr="00F003BB" w:rsidRDefault="002E7692" w:rsidP="002E7692">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#94Bis</w:t>
      </w:r>
      <w:r>
        <w:rPr>
          <w:rFonts w:cs="Arial"/>
          <w:sz w:val="24"/>
          <w:szCs w:val="24"/>
        </w:rPr>
        <w:tab/>
        <w:t>R4-200</w:t>
      </w:r>
      <w:r w:rsidR="009529D0">
        <w:rPr>
          <w:rFonts w:cs="Arial"/>
          <w:sz w:val="24"/>
          <w:szCs w:val="24"/>
        </w:rPr>
        <w:t>3215</w:t>
      </w:r>
    </w:p>
    <w:p w14:paraId="65543F38" w14:textId="77777777" w:rsidR="002E7692" w:rsidRPr="00CE74C5" w:rsidRDefault="002E7692" w:rsidP="002E7692">
      <w:pPr>
        <w:pStyle w:val="Header"/>
        <w:tabs>
          <w:tab w:val="right" w:pos="9781"/>
          <w:tab w:val="right" w:pos="13323"/>
        </w:tabs>
        <w:outlineLvl w:val="0"/>
        <w:rPr>
          <w:rFonts w:eastAsia="SimSun"/>
          <w:sz w:val="24"/>
          <w:szCs w:val="24"/>
          <w:lang w:eastAsia="zh-CN"/>
        </w:rPr>
      </w:pPr>
      <w:r>
        <w:rPr>
          <w:rFonts w:eastAsia="SimSun"/>
          <w:sz w:val="24"/>
          <w:szCs w:val="24"/>
          <w:lang w:eastAsia="zh-CN"/>
        </w:rPr>
        <w:t>Online, April 20th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30th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5374AA67"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E7692">
        <w:rPr>
          <w:rFonts w:ascii="Arial" w:hAnsi="Arial"/>
          <w:sz w:val="24"/>
        </w:rPr>
        <w:t>6</w:t>
      </w:r>
      <w:r w:rsidR="003009EA">
        <w:rPr>
          <w:rFonts w:ascii="Arial" w:hAnsi="Arial"/>
          <w:sz w:val="24"/>
        </w:rPr>
        <w:t>.14.1.</w:t>
      </w:r>
      <w:r w:rsidR="009529D0">
        <w:rPr>
          <w:rFonts w:ascii="Arial" w:hAnsi="Arial"/>
          <w:sz w:val="24"/>
        </w:rPr>
        <w:t>6</w:t>
      </w:r>
      <w:bookmarkStart w:id="1" w:name="_GoBack"/>
      <w:bookmarkEnd w:id="1"/>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6CAF6F7F"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30AD2">
        <w:rPr>
          <w:rFonts w:ascii="Arial" w:hAnsi="Arial"/>
          <w:sz w:val="24"/>
        </w:rPr>
        <w:t>FR2 CA MPR improvement</w:t>
      </w:r>
    </w:p>
    <w:p w14:paraId="47130695" w14:textId="48BD3981"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A35286">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28D058F1" w:rsidR="008E7145" w:rsidRPr="00C32F76" w:rsidRDefault="00430AD2" w:rsidP="00122353">
      <w:pPr>
        <w:jc w:val="both"/>
        <w:rPr>
          <w:rFonts w:ascii="Arial" w:hAnsi="Arial" w:cs="Arial"/>
          <w:sz w:val="20"/>
          <w:szCs w:val="20"/>
        </w:rPr>
      </w:pPr>
      <w:r>
        <w:rPr>
          <w:rFonts w:ascii="Arial" w:hAnsi="Arial" w:cs="Arial"/>
          <w:bCs/>
          <w:sz w:val="20"/>
          <w:szCs w:val="20"/>
        </w:rPr>
        <w:t>In Rel-15, contiguous</w:t>
      </w:r>
      <w:r w:rsidR="0052579D">
        <w:rPr>
          <w:rFonts w:ascii="Arial" w:hAnsi="Arial" w:cs="Arial"/>
          <w:bCs/>
          <w:sz w:val="20"/>
          <w:szCs w:val="20"/>
        </w:rPr>
        <w:t xml:space="preserve"> UL</w:t>
      </w:r>
      <w:r>
        <w:rPr>
          <w:rFonts w:ascii="Arial" w:hAnsi="Arial" w:cs="Arial"/>
          <w:bCs/>
          <w:sz w:val="20"/>
          <w:szCs w:val="20"/>
        </w:rPr>
        <w:t xml:space="preserve"> CA MPR was derived based on Cumulative Aggregate BW instead of UE’s UL CA </w:t>
      </w:r>
      <w:r w:rsidR="00BD225A">
        <w:rPr>
          <w:rFonts w:ascii="Arial" w:hAnsi="Arial" w:cs="Arial"/>
          <w:bCs/>
          <w:sz w:val="20"/>
          <w:szCs w:val="20"/>
        </w:rPr>
        <w:t>actual BW configuration</w:t>
      </w:r>
      <w:r>
        <w:rPr>
          <w:rFonts w:ascii="Arial" w:hAnsi="Arial" w:cs="Arial"/>
          <w:bCs/>
          <w:sz w:val="20"/>
          <w:szCs w:val="20"/>
        </w:rPr>
        <w:t xml:space="preserve">. </w:t>
      </w:r>
      <w:r w:rsidR="00E369DB">
        <w:rPr>
          <w:rFonts w:ascii="Arial" w:hAnsi="Arial" w:cs="Arial"/>
          <w:bCs/>
          <w:sz w:val="20"/>
          <w:szCs w:val="20"/>
        </w:rPr>
        <w:t xml:space="preserve">Even UL CA transmission BW is much smaller than CABW, UE is still allowed to take large power back off </w:t>
      </w:r>
      <w:r w:rsidR="00524CB0">
        <w:rPr>
          <w:rFonts w:ascii="Arial" w:hAnsi="Arial" w:cs="Arial"/>
          <w:bCs/>
          <w:sz w:val="20"/>
          <w:szCs w:val="20"/>
        </w:rPr>
        <w:t xml:space="preserve">due to the </w:t>
      </w:r>
      <w:r w:rsidR="0052579D">
        <w:rPr>
          <w:rFonts w:ascii="Arial" w:hAnsi="Arial" w:cs="Arial"/>
          <w:bCs/>
          <w:sz w:val="20"/>
          <w:szCs w:val="20"/>
        </w:rPr>
        <w:t xml:space="preserve">excessive </w:t>
      </w:r>
      <w:r w:rsidR="00524CB0">
        <w:rPr>
          <w:rFonts w:ascii="Arial" w:hAnsi="Arial" w:cs="Arial"/>
          <w:bCs/>
          <w:sz w:val="20"/>
          <w:szCs w:val="20"/>
        </w:rPr>
        <w:t xml:space="preserve">filter droop. </w:t>
      </w:r>
      <w:r w:rsidR="00E369DB">
        <w:rPr>
          <w:rFonts w:ascii="Arial" w:hAnsi="Arial" w:cs="Arial"/>
          <w:bCs/>
          <w:sz w:val="20"/>
          <w:szCs w:val="20"/>
        </w:rPr>
        <w:t xml:space="preserve">The reason was due to the consideration of common LO for Tx/Rx </w:t>
      </w:r>
      <w:r w:rsidR="0052579D">
        <w:rPr>
          <w:rFonts w:ascii="Arial" w:hAnsi="Arial" w:cs="Arial"/>
          <w:bCs/>
          <w:sz w:val="20"/>
          <w:szCs w:val="20"/>
        </w:rPr>
        <w:t xml:space="preserve">path </w:t>
      </w:r>
      <w:r w:rsidR="00E369DB">
        <w:rPr>
          <w:rFonts w:ascii="Arial" w:hAnsi="Arial" w:cs="Arial"/>
          <w:bCs/>
          <w:sz w:val="20"/>
          <w:szCs w:val="20"/>
        </w:rPr>
        <w:t>in some UE’s implementations</w:t>
      </w:r>
      <w:r w:rsidR="0052579D">
        <w:rPr>
          <w:rFonts w:ascii="Arial" w:hAnsi="Arial" w:cs="Arial"/>
          <w:bCs/>
          <w:sz w:val="20"/>
          <w:szCs w:val="20"/>
        </w:rPr>
        <w:t xml:space="preserve"> and UL analog filter BW is aligned with </w:t>
      </w:r>
      <w:r w:rsidR="00BD225A">
        <w:rPr>
          <w:rFonts w:ascii="Arial" w:hAnsi="Arial" w:cs="Arial"/>
          <w:bCs/>
          <w:sz w:val="20"/>
          <w:szCs w:val="20"/>
        </w:rPr>
        <w:t xml:space="preserve">maximum </w:t>
      </w:r>
      <w:r w:rsidR="0052579D">
        <w:rPr>
          <w:rFonts w:ascii="Arial" w:hAnsi="Arial" w:cs="Arial"/>
          <w:bCs/>
          <w:sz w:val="20"/>
          <w:szCs w:val="20"/>
        </w:rPr>
        <w:t xml:space="preserve">CABW </w:t>
      </w:r>
      <w:r w:rsidR="00FF2660">
        <w:rPr>
          <w:rFonts w:ascii="Arial" w:hAnsi="Arial" w:cs="Arial"/>
          <w:bCs/>
          <w:sz w:val="20"/>
          <w:szCs w:val="20"/>
        </w:rPr>
        <w:t xml:space="preserve">instead of </w:t>
      </w:r>
      <w:r w:rsidR="00BD225A">
        <w:rPr>
          <w:rFonts w:ascii="Arial" w:hAnsi="Arial" w:cs="Arial"/>
          <w:bCs/>
          <w:sz w:val="20"/>
          <w:szCs w:val="20"/>
        </w:rPr>
        <w:t>maximum UL CA BW configuration</w:t>
      </w:r>
      <w:r w:rsidR="00524CB0">
        <w:rPr>
          <w:rFonts w:ascii="Arial" w:hAnsi="Arial" w:cs="Arial"/>
          <w:bCs/>
          <w:sz w:val="20"/>
          <w:szCs w:val="20"/>
        </w:rPr>
        <w:t>. In this case, the real UL transmission BW is ignored even it can be much smaller than CABW. N</w:t>
      </w:r>
      <w:r w:rsidR="00E369DB">
        <w:rPr>
          <w:rFonts w:ascii="Arial" w:hAnsi="Arial" w:cs="Arial"/>
          <w:bCs/>
          <w:sz w:val="20"/>
          <w:szCs w:val="20"/>
        </w:rPr>
        <w:t xml:space="preserve">ow in Rel-16, the CABW can be even extended to </w:t>
      </w:r>
      <w:r w:rsidR="00524CB0">
        <w:rPr>
          <w:rFonts w:ascii="Arial" w:hAnsi="Arial" w:cs="Arial"/>
          <w:bCs/>
          <w:sz w:val="20"/>
          <w:szCs w:val="20"/>
        </w:rPr>
        <w:t xml:space="preserve">2400MHz. In order to prevent excessive MPR </w:t>
      </w:r>
      <w:r w:rsidR="00001F7C">
        <w:rPr>
          <w:rFonts w:ascii="Arial" w:hAnsi="Arial" w:cs="Arial"/>
          <w:bCs/>
          <w:sz w:val="20"/>
          <w:szCs w:val="20"/>
        </w:rPr>
        <w:t xml:space="preserve">from degrading system performance, we propose CA MPR when CABW greater than 1400MHz is the same as MPR </w:t>
      </w:r>
      <w:r w:rsidR="00C92B04">
        <w:rPr>
          <w:rFonts w:ascii="Arial" w:hAnsi="Arial" w:cs="Arial"/>
          <w:bCs/>
          <w:sz w:val="20"/>
          <w:szCs w:val="20"/>
        </w:rPr>
        <w:t xml:space="preserve">for 800MHz ~ </w:t>
      </w:r>
      <w:r w:rsidR="00001F7C">
        <w:rPr>
          <w:rFonts w:ascii="Arial" w:hAnsi="Arial" w:cs="Arial"/>
          <w:bCs/>
          <w:sz w:val="20"/>
          <w:szCs w:val="20"/>
        </w:rPr>
        <w:t>1400MHz to not allow further power backoff at UE</w:t>
      </w:r>
      <w:r w:rsidR="000B498C">
        <w:rPr>
          <w:rFonts w:ascii="Arial" w:hAnsi="Arial" w:cs="Arial"/>
          <w:bCs/>
          <w:sz w:val="20"/>
          <w:szCs w:val="20"/>
        </w:rPr>
        <w:t xml:space="preserve"> such </w:t>
      </w:r>
      <w:r w:rsidR="005F5778">
        <w:rPr>
          <w:rFonts w:ascii="Arial" w:hAnsi="Arial" w:cs="Arial"/>
          <w:bCs/>
          <w:sz w:val="20"/>
          <w:szCs w:val="20"/>
        </w:rPr>
        <w:t>that the</w:t>
      </w:r>
      <w:r w:rsidR="000B498C">
        <w:rPr>
          <w:rFonts w:ascii="Arial" w:hAnsi="Arial" w:cs="Arial"/>
          <w:bCs/>
          <w:sz w:val="20"/>
          <w:szCs w:val="20"/>
        </w:rPr>
        <w:t xml:space="preserve"> system performance can be improved.</w:t>
      </w:r>
    </w:p>
    <w:p w14:paraId="2DACFD34" w14:textId="6A4732C0"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3BD7E477" w14:textId="0B730711" w:rsidR="00FE42E0" w:rsidRDefault="00001F7C" w:rsidP="00B32EDD">
      <w:pPr>
        <w:rPr>
          <w:rFonts w:ascii="Arial" w:eastAsiaTheme="minorEastAsia" w:hAnsi="Arial" w:cs="Arial"/>
          <w:sz w:val="20"/>
          <w:szCs w:val="20"/>
        </w:rPr>
      </w:pPr>
      <w:r>
        <w:rPr>
          <w:rFonts w:ascii="Arial" w:eastAsiaTheme="minorEastAsia" w:hAnsi="Arial" w:cs="Arial"/>
          <w:sz w:val="20"/>
          <w:szCs w:val="20"/>
        </w:rPr>
        <w:t xml:space="preserve">In Rel-15, </w:t>
      </w:r>
      <w:r w:rsidR="00C92B04">
        <w:rPr>
          <w:rFonts w:ascii="Arial" w:eastAsiaTheme="minorEastAsia" w:hAnsi="Arial" w:cs="Arial"/>
          <w:sz w:val="20"/>
          <w:szCs w:val="20"/>
        </w:rPr>
        <w:t xml:space="preserve">The UL CA MPR was derived based on CABW. </w:t>
      </w:r>
      <w:r w:rsidR="00032176">
        <w:rPr>
          <w:rFonts w:ascii="Arial" w:eastAsiaTheme="minorEastAsia" w:hAnsi="Arial" w:cs="Arial"/>
          <w:sz w:val="20"/>
          <w:szCs w:val="20"/>
        </w:rPr>
        <w:t>T</w:t>
      </w:r>
      <w:r w:rsidR="00C92B04">
        <w:rPr>
          <w:rFonts w:ascii="Arial" w:eastAsiaTheme="minorEastAsia" w:hAnsi="Arial" w:cs="Arial"/>
          <w:sz w:val="20"/>
          <w:szCs w:val="20"/>
        </w:rPr>
        <w:t>he MPR table for PC3 is shown below</w:t>
      </w:r>
      <w:r w:rsidR="007A74EF">
        <w:rPr>
          <w:rFonts w:ascii="Arial" w:eastAsiaTheme="minorEastAsia" w:hAnsi="Arial" w:cs="Arial"/>
          <w:sz w:val="20"/>
          <w:szCs w:val="20"/>
        </w:rPr>
        <w:t xml:space="preserve"> in 38.101-2</w:t>
      </w:r>
      <w:r w:rsidR="00ED11D5">
        <w:rPr>
          <w:rFonts w:ascii="Arial" w:eastAsiaTheme="minorEastAsia" w:hAnsi="Arial" w:cs="Arial"/>
          <w:sz w:val="20"/>
          <w:szCs w:val="20"/>
        </w:rPr>
        <w:t>.</w:t>
      </w:r>
    </w:p>
    <w:p w14:paraId="1AFD268B" w14:textId="6B2E90CF" w:rsidR="001F7D7E" w:rsidRDefault="001F7D7E" w:rsidP="00B32EDD">
      <w:pPr>
        <w:rPr>
          <w:rFonts w:ascii="Arial" w:eastAsiaTheme="minorEastAsia" w:hAnsi="Arial" w:cs="Arial"/>
          <w:sz w:val="20"/>
          <w:szCs w:val="20"/>
        </w:rPr>
      </w:pPr>
      <w:r w:rsidRPr="001F7D7E">
        <w:rPr>
          <w:rFonts w:ascii="Arial" w:eastAsiaTheme="minorEastAsia" w:hAnsi="Arial" w:cs="Arial"/>
          <w:noProof/>
          <w:sz w:val="20"/>
          <w:szCs w:val="20"/>
        </w:rPr>
        <mc:AlternateContent>
          <mc:Choice Requires="wps">
            <w:drawing>
              <wp:anchor distT="45720" distB="45720" distL="114300" distR="114300" simplePos="0" relativeHeight="251659264" behindDoc="0" locked="0" layoutInCell="1" allowOverlap="1" wp14:anchorId="763A4CED" wp14:editId="145E3C53">
                <wp:simplePos x="0" y="0"/>
                <wp:positionH relativeFrom="margin">
                  <wp:align>left</wp:align>
                </wp:positionH>
                <wp:positionV relativeFrom="paragraph">
                  <wp:posOffset>326390</wp:posOffset>
                </wp:positionV>
                <wp:extent cx="6076950" cy="1404620"/>
                <wp:effectExtent l="0" t="0" r="1905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17BA6136" w14:textId="77777777" w:rsidR="001F7D7E" w:rsidRPr="00C92B04" w:rsidRDefault="001F7D7E" w:rsidP="001F7D7E">
                            <w:bookmarkStart w:id="2" w:name="_Toc21339336"/>
                            <w:r w:rsidRPr="00C92B04">
                              <w:t>6.2A.2.4</w:t>
                            </w:r>
                            <w:r w:rsidRPr="00C92B04">
                              <w:tab/>
                              <w:t>Maximum output power reduction for power class 3</w:t>
                            </w:r>
                            <w:bookmarkEnd w:id="2"/>
                          </w:p>
                          <w:p w14:paraId="643016DA" w14:textId="77777777" w:rsidR="001F7D7E" w:rsidRPr="00257DEF" w:rsidRDefault="001F7D7E" w:rsidP="001F7D7E">
                            <w:r w:rsidRPr="00257DEF">
                              <w:t>For power class 3, MPR for UL contiguous allocations within the cumulative aggregated bandwidth is denoted as MPR</w:t>
                            </w:r>
                            <w:r w:rsidRPr="00257DEF">
                              <w:rPr>
                                <w:vertAlign w:val="subscript"/>
                              </w:rPr>
                              <w:t>C_CA</w:t>
                            </w:r>
                            <w:r w:rsidRPr="00257DEF">
                              <w:t xml:space="preserve"> and is defined in Table 6.2A.2.4-1.</w:t>
                            </w:r>
                          </w:p>
                          <w:p w14:paraId="23E998EA" w14:textId="77777777" w:rsidR="001F7D7E" w:rsidRPr="00257DEF" w:rsidRDefault="001F7D7E" w:rsidP="001F7D7E">
                            <w:pPr>
                              <w:pStyle w:val="TH"/>
                            </w:pPr>
                            <w:r w:rsidRPr="00257DEF">
                              <w:t>Table 6.2A.2.4-1: Maximum power reduction (MPR</w:t>
                            </w:r>
                            <w:r w:rsidRPr="00257DEF">
                              <w:rPr>
                                <w:vertAlign w:val="subscript"/>
                              </w:rPr>
                              <w:t>C_CA</w:t>
                            </w:r>
                            <w:r w:rsidRPr="00257DE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74"/>
                              <w:gridCol w:w="2024"/>
                              <w:gridCol w:w="1745"/>
                              <w:gridCol w:w="1745"/>
                            </w:tblGrid>
                            <w:tr w:rsidR="001F7D7E" w:rsidRPr="00257DEF" w14:paraId="27924DFC" w14:textId="77777777" w:rsidTr="00675BAC">
                              <w:trPr>
                                <w:jc w:val="center"/>
                              </w:trPr>
                              <w:tc>
                                <w:tcPr>
                                  <w:tcW w:w="3895" w:type="dxa"/>
                                  <w:gridSpan w:val="2"/>
                                  <w:vMerge w:val="restart"/>
                                  <w:shd w:val="clear" w:color="auto" w:fill="auto"/>
                                </w:tcPr>
                                <w:p w14:paraId="539C1C2D" w14:textId="77777777" w:rsidR="001F7D7E" w:rsidRPr="00257DEF" w:rsidRDefault="001F7D7E" w:rsidP="001F7D7E">
                                  <w:pPr>
                                    <w:pStyle w:val="TAH"/>
                                  </w:pPr>
                                </w:p>
                              </w:tc>
                              <w:tc>
                                <w:tcPr>
                                  <w:tcW w:w="5736" w:type="dxa"/>
                                  <w:gridSpan w:val="3"/>
                                  <w:shd w:val="clear" w:color="auto" w:fill="auto"/>
                                </w:tcPr>
                                <w:p w14:paraId="26F1DC04" w14:textId="77777777" w:rsidR="001F7D7E" w:rsidRPr="00257DEF" w:rsidRDefault="001F7D7E" w:rsidP="001F7D7E">
                                  <w:pPr>
                                    <w:pStyle w:val="TAH"/>
                                  </w:pPr>
                                  <w:r w:rsidRPr="00257DEF">
                                    <w:t>Cumulative aggregated bandwidth configuration</w:t>
                                  </w:r>
                                </w:p>
                              </w:tc>
                            </w:tr>
                            <w:tr w:rsidR="001F7D7E" w:rsidRPr="00257DEF" w14:paraId="798CE20C" w14:textId="77777777" w:rsidTr="00675BAC">
                              <w:trPr>
                                <w:jc w:val="center"/>
                              </w:trPr>
                              <w:tc>
                                <w:tcPr>
                                  <w:tcW w:w="3895" w:type="dxa"/>
                                  <w:gridSpan w:val="2"/>
                                  <w:vMerge/>
                                  <w:shd w:val="clear" w:color="auto" w:fill="auto"/>
                                </w:tcPr>
                                <w:p w14:paraId="32C68FCB" w14:textId="77777777" w:rsidR="001F7D7E" w:rsidRPr="00257DEF" w:rsidRDefault="001F7D7E" w:rsidP="001F7D7E">
                                  <w:pPr>
                                    <w:pStyle w:val="TAH"/>
                                  </w:pPr>
                                </w:p>
                              </w:tc>
                              <w:tc>
                                <w:tcPr>
                                  <w:tcW w:w="2110" w:type="dxa"/>
                                  <w:shd w:val="clear" w:color="auto" w:fill="auto"/>
                                </w:tcPr>
                                <w:p w14:paraId="06873105" w14:textId="77777777" w:rsidR="001F7D7E" w:rsidRPr="00257DEF" w:rsidRDefault="001F7D7E" w:rsidP="001F7D7E">
                                  <w:pPr>
                                    <w:pStyle w:val="TAH"/>
                                  </w:pPr>
                                  <w:r w:rsidRPr="00C92B04">
                                    <w:rPr>
                                      <w:rFonts w:eastAsia="Yu Mincho" w:cs="Arial"/>
                                      <w:lang w:eastAsia="ja-JP"/>
                                    </w:rPr>
                                    <w:t>≤</w:t>
                                  </w:r>
                                  <w:r>
                                    <w:t xml:space="preserve"> 400 MHz</w:t>
                                  </w:r>
                                </w:p>
                              </w:tc>
                              <w:tc>
                                <w:tcPr>
                                  <w:tcW w:w="1814" w:type="dxa"/>
                                </w:tcPr>
                                <w:p w14:paraId="0B70513B" w14:textId="77777777" w:rsidR="001F7D7E" w:rsidRPr="00257DEF" w:rsidRDefault="001F7D7E" w:rsidP="001F7D7E">
                                  <w:pPr>
                                    <w:pStyle w:val="TAH"/>
                                  </w:pPr>
                                  <w:r>
                                    <w:rPr>
                                      <w:rFonts w:cs="Arial"/>
                                    </w:rPr>
                                    <w:t xml:space="preserve">&gt; </w:t>
                                  </w:r>
                                  <w:r>
                                    <w:t>400 MHz and &lt; 800 MHz</w:t>
                                  </w:r>
                                </w:p>
                              </w:tc>
                              <w:tc>
                                <w:tcPr>
                                  <w:tcW w:w="1812" w:type="dxa"/>
                                </w:tcPr>
                                <w:p w14:paraId="6EE8F1B0" w14:textId="77777777" w:rsidR="001F7D7E" w:rsidRPr="00257DEF" w:rsidRDefault="001F7D7E" w:rsidP="001F7D7E">
                                  <w:pPr>
                                    <w:pStyle w:val="TAH"/>
                                  </w:pPr>
                                  <w:r w:rsidRPr="00257DEF">
                                    <w:rPr>
                                      <w:rFonts w:cs="Arial"/>
                                    </w:rPr>
                                    <w:t>≥</w:t>
                                  </w:r>
                                  <w:r w:rsidRPr="00257DEF">
                                    <w:t xml:space="preserve"> 800 MHz and </w:t>
                                  </w:r>
                                  <w:r w:rsidRPr="00257DEF">
                                    <w:rPr>
                                      <w:rFonts w:cs="Arial"/>
                                    </w:rPr>
                                    <w:t>≤</w:t>
                                  </w:r>
                                  <w:r w:rsidRPr="00257DEF">
                                    <w:t xml:space="preserve"> 1400 MHz</w:t>
                                  </w:r>
                                </w:p>
                              </w:tc>
                            </w:tr>
                            <w:tr w:rsidR="001F7D7E" w:rsidRPr="00257DEF" w14:paraId="1602540D" w14:textId="77777777" w:rsidTr="00675BAC">
                              <w:trPr>
                                <w:jc w:val="center"/>
                              </w:trPr>
                              <w:tc>
                                <w:tcPr>
                                  <w:tcW w:w="1952" w:type="dxa"/>
                                  <w:vMerge w:val="restart"/>
                                  <w:shd w:val="clear" w:color="auto" w:fill="auto"/>
                                  <w:vAlign w:val="center"/>
                                </w:tcPr>
                                <w:p w14:paraId="2CC8E2F7" w14:textId="77777777" w:rsidR="001F7D7E" w:rsidRPr="00257DEF" w:rsidRDefault="001F7D7E" w:rsidP="001F7D7E">
                                  <w:pPr>
                                    <w:pStyle w:val="TAC"/>
                                  </w:pPr>
                                  <w:r w:rsidRPr="00257DEF">
                                    <w:t>DFT-s-OFDM</w:t>
                                  </w:r>
                                </w:p>
                              </w:tc>
                              <w:tc>
                                <w:tcPr>
                                  <w:tcW w:w="1943" w:type="dxa"/>
                                  <w:shd w:val="clear" w:color="auto" w:fill="auto"/>
                                </w:tcPr>
                                <w:p w14:paraId="31B7FA45" w14:textId="77777777" w:rsidR="001F7D7E" w:rsidRPr="00257DEF" w:rsidRDefault="001F7D7E" w:rsidP="001F7D7E">
                                  <w:pPr>
                                    <w:pStyle w:val="TAC"/>
                                  </w:pPr>
                                  <w:r w:rsidRPr="00257DEF">
                                    <w:t>Pi/2 BPSK</w:t>
                                  </w:r>
                                </w:p>
                              </w:tc>
                              <w:tc>
                                <w:tcPr>
                                  <w:tcW w:w="2110" w:type="dxa"/>
                                  <w:shd w:val="clear" w:color="auto" w:fill="auto"/>
                                </w:tcPr>
                                <w:p w14:paraId="7A08E90D" w14:textId="77777777" w:rsidR="001F7D7E" w:rsidRPr="00257DEF" w:rsidRDefault="001F7D7E" w:rsidP="001F7D7E">
                                  <w:pPr>
                                    <w:pStyle w:val="TAC"/>
                                  </w:pPr>
                                  <w:r w:rsidRPr="00257DEF">
                                    <w:t>≤ 5.0</w:t>
                                  </w:r>
                                </w:p>
                              </w:tc>
                              <w:tc>
                                <w:tcPr>
                                  <w:tcW w:w="1814" w:type="dxa"/>
                                </w:tcPr>
                                <w:p w14:paraId="42E19C92" w14:textId="77777777" w:rsidR="001F7D7E" w:rsidRPr="00257DEF" w:rsidRDefault="001F7D7E" w:rsidP="001F7D7E">
                                  <w:pPr>
                                    <w:pStyle w:val="TAC"/>
                                  </w:pPr>
                                  <w:r w:rsidRPr="00257DEF">
                                    <w:t>≤ 7.7</w:t>
                                  </w:r>
                                </w:p>
                              </w:tc>
                              <w:tc>
                                <w:tcPr>
                                  <w:tcW w:w="1812" w:type="dxa"/>
                                </w:tcPr>
                                <w:p w14:paraId="644068D3" w14:textId="77777777" w:rsidR="001F7D7E" w:rsidRPr="00257DEF" w:rsidRDefault="001F7D7E" w:rsidP="001F7D7E">
                                  <w:pPr>
                                    <w:pStyle w:val="TAC"/>
                                  </w:pPr>
                                  <w:r w:rsidRPr="00257DEF">
                                    <w:t>≤ 8.2</w:t>
                                  </w:r>
                                </w:p>
                              </w:tc>
                            </w:tr>
                            <w:tr w:rsidR="001F7D7E" w:rsidRPr="00257DEF" w14:paraId="12ADFD03" w14:textId="77777777" w:rsidTr="00675BAC">
                              <w:trPr>
                                <w:jc w:val="center"/>
                              </w:trPr>
                              <w:tc>
                                <w:tcPr>
                                  <w:tcW w:w="1952" w:type="dxa"/>
                                  <w:vMerge/>
                                  <w:shd w:val="clear" w:color="auto" w:fill="auto"/>
                                  <w:vAlign w:val="center"/>
                                </w:tcPr>
                                <w:p w14:paraId="725F31B0" w14:textId="77777777" w:rsidR="001F7D7E" w:rsidRPr="00257DEF" w:rsidRDefault="001F7D7E" w:rsidP="001F7D7E">
                                  <w:pPr>
                                    <w:pStyle w:val="TAC"/>
                                  </w:pPr>
                                </w:p>
                              </w:tc>
                              <w:tc>
                                <w:tcPr>
                                  <w:tcW w:w="1943" w:type="dxa"/>
                                  <w:shd w:val="clear" w:color="auto" w:fill="auto"/>
                                </w:tcPr>
                                <w:p w14:paraId="49022B44" w14:textId="77777777" w:rsidR="001F7D7E" w:rsidRPr="00257DEF" w:rsidRDefault="001F7D7E" w:rsidP="001F7D7E">
                                  <w:pPr>
                                    <w:pStyle w:val="TAC"/>
                                  </w:pPr>
                                  <w:r w:rsidRPr="00257DEF">
                                    <w:t>QPSK</w:t>
                                  </w:r>
                                </w:p>
                              </w:tc>
                              <w:tc>
                                <w:tcPr>
                                  <w:tcW w:w="2110" w:type="dxa"/>
                                  <w:shd w:val="clear" w:color="auto" w:fill="auto"/>
                                </w:tcPr>
                                <w:p w14:paraId="7342B321" w14:textId="77777777" w:rsidR="001F7D7E" w:rsidRPr="00257DEF" w:rsidRDefault="001F7D7E" w:rsidP="001F7D7E">
                                  <w:pPr>
                                    <w:pStyle w:val="TAC"/>
                                  </w:pPr>
                                  <w:r w:rsidRPr="00257DEF">
                                    <w:t>≤ 5.0</w:t>
                                  </w:r>
                                </w:p>
                              </w:tc>
                              <w:tc>
                                <w:tcPr>
                                  <w:tcW w:w="1814" w:type="dxa"/>
                                </w:tcPr>
                                <w:p w14:paraId="60DEFA9D" w14:textId="77777777" w:rsidR="001F7D7E" w:rsidRPr="00257DEF" w:rsidRDefault="001F7D7E" w:rsidP="001F7D7E">
                                  <w:pPr>
                                    <w:pStyle w:val="TAC"/>
                                  </w:pPr>
                                  <w:r w:rsidRPr="00257DEF">
                                    <w:t>≤ 7.7</w:t>
                                  </w:r>
                                </w:p>
                              </w:tc>
                              <w:tc>
                                <w:tcPr>
                                  <w:tcW w:w="1812" w:type="dxa"/>
                                </w:tcPr>
                                <w:p w14:paraId="65413C2A" w14:textId="77777777" w:rsidR="001F7D7E" w:rsidRPr="00257DEF" w:rsidRDefault="001F7D7E" w:rsidP="001F7D7E">
                                  <w:pPr>
                                    <w:pStyle w:val="TAC"/>
                                  </w:pPr>
                                  <w:r w:rsidRPr="00257DEF">
                                    <w:t>≤ 8.2</w:t>
                                  </w:r>
                                </w:p>
                              </w:tc>
                            </w:tr>
                            <w:tr w:rsidR="001F7D7E" w:rsidRPr="00257DEF" w14:paraId="72943C3F" w14:textId="77777777" w:rsidTr="00675BAC">
                              <w:trPr>
                                <w:jc w:val="center"/>
                              </w:trPr>
                              <w:tc>
                                <w:tcPr>
                                  <w:tcW w:w="1952" w:type="dxa"/>
                                  <w:vMerge/>
                                  <w:shd w:val="clear" w:color="auto" w:fill="auto"/>
                                  <w:vAlign w:val="center"/>
                                </w:tcPr>
                                <w:p w14:paraId="37D02931" w14:textId="77777777" w:rsidR="001F7D7E" w:rsidRPr="00257DEF" w:rsidRDefault="001F7D7E" w:rsidP="001F7D7E">
                                  <w:pPr>
                                    <w:pStyle w:val="TAC"/>
                                  </w:pPr>
                                </w:p>
                              </w:tc>
                              <w:tc>
                                <w:tcPr>
                                  <w:tcW w:w="1943" w:type="dxa"/>
                                  <w:shd w:val="clear" w:color="auto" w:fill="auto"/>
                                </w:tcPr>
                                <w:p w14:paraId="47C9131E" w14:textId="77777777" w:rsidR="001F7D7E" w:rsidRPr="00257DEF" w:rsidRDefault="001F7D7E" w:rsidP="001F7D7E">
                                  <w:pPr>
                                    <w:pStyle w:val="TAC"/>
                                  </w:pPr>
                                  <w:r w:rsidRPr="00257DEF">
                                    <w:t>16 QAM</w:t>
                                  </w:r>
                                </w:p>
                              </w:tc>
                              <w:tc>
                                <w:tcPr>
                                  <w:tcW w:w="2110" w:type="dxa"/>
                                  <w:shd w:val="clear" w:color="auto" w:fill="auto"/>
                                </w:tcPr>
                                <w:p w14:paraId="07EF4955" w14:textId="77777777" w:rsidR="001F7D7E" w:rsidRPr="00257DEF" w:rsidRDefault="001F7D7E" w:rsidP="001F7D7E">
                                  <w:pPr>
                                    <w:pStyle w:val="TAC"/>
                                  </w:pPr>
                                  <w:r w:rsidRPr="00257DEF">
                                    <w:t>≤ 6.5</w:t>
                                  </w:r>
                                </w:p>
                              </w:tc>
                              <w:tc>
                                <w:tcPr>
                                  <w:tcW w:w="1814" w:type="dxa"/>
                                </w:tcPr>
                                <w:p w14:paraId="01DCF6C8" w14:textId="77777777" w:rsidR="001F7D7E" w:rsidRPr="00257DEF" w:rsidRDefault="001F7D7E" w:rsidP="001F7D7E">
                                  <w:pPr>
                                    <w:pStyle w:val="TAC"/>
                                  </w:pPr>
                                  <w:r w:rsidRPr="00257DEF">
                                    <w:t>≤ 8.7</w:t>
                                  </w:r>
                                </w:p>
                              </w:tc>
                              <w:tc>
                                <w:tcPr>
                                  <w:tcW w:w="1812" w:type="dxa"/>
                                </w:tcPr>
                                <w:p w14:paraId="14F41347" w14:textId="77777777" w:rsidR="001F7D7E" w:rsidRPr="00257DEF" w:rsidRDefault="001F7D7E" w:rsidP="001F7D7E">
                                  <w:pPr>
                                    <w:pStyle w:val="TAC"/>
                                  </w:pPr>
                                  <w:r w:rsidRPr="00257DEF">
                                    <w:t>≤ 9.2</w:t>
                                  </w:r>
                                </w:p>
                              </w:tc>
                            </w:tr>
                            <w:tr w:rsidR="001F7D7E" w:rsidRPr="00257DEF" w14:paraId="65FEA79C" w14:textId="77777777" w:rsidTr="00675BAC">
                              <w:trPr>
                                <w:jc w:val="center"/>
                              </w:trPr>
                              <w:tc>
                                <w:tcPr>
                                  <w:tcW w:w="1952" w:type="dxa"/>
                                  <w:vMerge/>
                                  <w:shd w:val="clear" w:color="auto" w:fill="auto"/>
                                  <w:vAlign w:val="center"/>
                                </w:tcPr>
                                <w:p w14:paraId="3BD8293C" w14:textId="77777777" w:rsidR="001F7D7E" w:rsidRPr="00257DEF" w:rsidRDefault="001F7D7E" w:rsidP="001F7D7E">
                                  <w:pPr>
                                    <w:pStyle w:val="TAC"/>
                                  </w:pPr>
                                </w:p>
                              </w:tc>
                              <w:tc>
                                <w:tcPr>
                                  <w:tcW w:w="1943" w:type="dxa"/>
                                  <w:shd w:val="clear" w:color="auto" w:fill="auto"/>
                                </w:tcPr>
                                <w:p w14:paraId="6EB2AF72" w14:textId="77777777" w:rsidR="001F7D7E" w:rsidRPr="00257DEF" w:rsidRDefault="001F7D7E" w:rsidP="001F7D7E">
                                  <w:pPr>
                                    <w:pStyle w:val="TAC"/>
                                  </w:pPr>
                                  <w:r w:rsidRPr="00257DEF">
                                    <w:t>64 QAM</w:t>
                                  </w:r>
                                </w:p>
                              </w:tc>
                              <w:tc>
                                <w:tcPr>
                                  <w:tcW w:w="2110" w:type="dxa"/>
                                  <w:shd w:val="clear" w:color="auto" w:fill="auto"/>
                                </w:tcPr>
                                <w:p w14:paraId="5801A1A6" w14:textId="77777777" w:rsidR="001F7D7E" w:rsidRPr="00257DEF" w:rsidRDefault="001F7D7E" w:rsidP="001F7D7E">
                                  <w:pPr>
                                    <w:pStyle w:val="TAC"/>
                                  </w:pPr>
                                  <w:r w:rsidRPr="00257DEF">
                                    <w:t>≤ 9.0</w:t>
                                  </w:r>
                                </w:p>
                              </w:tc>
                              <w:tc>
                                <w:tcPr>
                                  <w:tcW w:w="1814" w:type="dxa"/>
                                </w:tcPr>
                                <w:p w14:paraId="51A3333F" w14:textId="77777777" w:rsidR="001F7D7E" w:rsidRPr="00257DEF" w:rsidRDefault="001F7D7E" w:rsidP="001F7D7E">
                                  <w:pPr>
                                    <w:pStyle w:val="TAC"/>
                                  </w:pPr>
                                  <w:r w:rsidRPr="00257DEF">
                                    <w:t>≤ 10.7</w:t>
                                  </w:r>
                                </w:p>
                              </w:tc>
                              <w:tc>
                                <w:tcPr>
                                  <w:tcW w:w="1812" w:type="dxa"/>
                                </w:tcPr>
                                <w:p w14:paraId="7CF1DED6" w14:textId="77777777" w:rsidR="001F7D7E" w:rsidRPr="00257DEF" w:rsidRDefault="001F7D7E" w:rsidP="001F7D7E">
                                  <w:pPr>
                                    <w:pStyle w:val="TAC"/>
                                  </w:pPr>
                                  <w:r w:rsidRPr="00257DEF">
                                    <w:t>≤ 11.2</w:t>
                                  </w:r>
                                </w:p>
                              </w:tc>
                            </w:tr>
                            <w:tr w:rsidR="001F7D7E" w:rsidRPr="00257DEF" w14:paraId="789C401C" w14:textId="77777777" w:rsidTr="00675BAC">
                              <w:trPr>
                                <w:jc w:val="center"/>
                              </w:trPr>
                              <w:tc>
                                <w:tcPr>
                                  <w:tcW w:w="1952" w:type="dxa"/>
                                  <w:vMerge w:val="restart"/>
                                  <w:shd w:val="clear" w:color="auto" w:fill="auto"/>
                                  <w:vAlign w:val="center"/>
                                </w:tcPr>
                                <w:p w14:paraId="7570ECDA" w14:textId="77777777" w:rsidR="001F7D7E" w:rsidRPr="00257DEF" w:rsidRDefault="001F7D7E" w:rsidP="001F7D7E">
                                  <w:pPr>
                                    <w:pStyle w:val="TAC"/>
                                  </w:pPr>
                                  <w:r w:rsidRPr="00257DEF">
                                    <w:t>CP-OFDM</w:t>
                                  </w:r>
                                </w:p>
                              </w:tc>
                              <w:tc>
                                <w:tcPr>
                                  <w:tcW w:w="1943" w:type="dxa"/>
                                  <w:shd w:val="clear" w:color="auto" w:fill="auto"/>
                                </w:tcPr>
                                <w:p w14:paraId="083B5797" w14:textId="77777777" w:rsidR="001F7D7E" w:rsidRPr="00257DEF" w:rsidRDefault="001F7D7E" w:rsidP="001F7D7E">
                                  <w:pPr>
                                    <w:pStyle w:val="TAC"/>
                                  </w:pPr>
                                  <w:r w:rsidRPr="00257DEF">
                                    <w:t>QPSK</w:t>
                                  </w:r>
                                </w:p>
                              </w:tc>
                              <w:tc>
                                <w:tcPr>
                                  <w:tcW w:w="2110" w:type="dxa"/>
                                  <w:shd w:val="clear" w:color="auto" w:fill="auto"/>
                                </w:tcPr>
                                <w:p w14:paraId="679C0103" w14:textId="77777777" w:rsidR="001F7D7E" w:rsidRPr="00257DEF" w:rsidRDefault="001F7D7E" w:rsidP="001F7D7E">
                                  <w:pPr>
                                    <w:pStyle w:val="TAC"/>
                                  </w:pPr>
                                  <w:r w:rsidRPr="00257DEF">
                                    <w:t>≤ 5.0</w:t>
                                  </w:r>
                                </w:p>
                              </w:tc>
                              <w:tc>
                                <w:tcPr>
                                  <w:tcW w:w="1814" w:type="dxa"/>
                                </w:tcPr>
                                <w:p w14:paraId="66DFC307" w14:textId="77777777" w:rsidR="001F7D7E" w:rsidRPr="00257DEF" w:rsidRDefault="001F7D7E" w:rsidP="001F7D7E">
                                  <w:pPr>
                                    <w:pStyle w:val="TAC"/>
                                  </w:pPr>
                                  <w:r w:rsidRPr="00257DEF">
                                    <w:t>≤ 7.7</w:t>
                                  </w:r>
                                </w:p>
                              </w:tc>
                              <w:tc>
                                <w:tcPr>
                                  <w:tcW w:w="1812" w:type="dxa"/>
                                </w:tcPr>
                                <w:p w14:paraId="3149D5CF" w14:textId="77777777" w:rsidR="001F7D7E" w:rsidRPr="00257DEF" w:rsidRDefault="001F7D7E" w:rsidP="001F7D7E">
                                  <w:pPr>
                                    <w:pStyle w:val="TAC"/>
                                  </w:pPr>
                                  <w:r w:rsidRPr="00257DEF">
                                    <w:t>≤ 8.2</w:t>
                                  </w:r>
                                </w:p>
                              </w:tc>
                            </w:tr>
                            <w:tr w:rsidR="001F7D7E" w:rsidRPr="00257DEF" w14:paraId="260500BF" w14:textId="77777777" w:rsidTr="00675BAC">
                              <w:trPr>
                                <w:jc w:val="center"/>
                              </w:trPr>
                              <w:tc>
                                <w:tcPr>
                                  <w:tcW w:w="1952" w:type="dxa"/>
                                  <w:vMerge/>
                                  <w:shd w:val="clear" w:color="auto" w:fill="auto"/>
                                </w:tcPr>
                                <w:p w14:paraId="1D54712E" w14:textId="77777777" w:rsidR="001F7D7E" w:rsidRPr="00257DEF" w:rsidRDefault="001F7D7E" w:rsidP="001F7D7E">
                                  <w:pPr>
                                    <w:pStyle w:val="TAC"/>
                                  </w:pPr>
                                </w:p>
                              </w:tc>
                              <w:tc>
                                <w:tcPr>
                                  <w:tcW w:w="1943" w:type="dxa"/>
                                  <w:shd w:val="clear" w:color="auto" w:fill="auto"/>
                                </w:tcPr>
                                <w:p w14:paraId="4B86A0B1" w14:textId="77777777" w:rsidR="001F7D7E" w:rsidRPr="00257DEF" w:rsidRDefault="001F7D7E" w:rsidP="001F7D7E">
                                  <w:pPr>
                                    <w:pStyle w:val="TAC"/>
                                  </w:pPr>
                                  <w:r w:rsidRPr="00257DEF">
                                    <w:t>16 QAM</w:t>
                                  </w:r>
                                </w:p>
                              </w:tc>
                              <w:tc>
                                <w:tcPr>
                                  <w:tcW w:w="2110" w:type="dxa"/>
                                  <w:shd w:val="clear" w:color="auto" w:fill="auto"/>
                                </w:tcPr>
                                <w:p w14:paraId="06CF7BDF" w14:textId="77777777" w:rsidR="001F7D7E" w:rsidRPr="00257DEF" w:rsidRDefault="001F7D7E" w:rsidP="001F7D7E">
                                  <w:pPr>
                                    <w:pStyle w:val="TAC"/>
                                  </w:pPr>
                                  <w:r w:rsidRPr="00257DEF">
                                    <w:t>≤ 6.5</w:t>
                                  </w:r>
                                </w:p>
                              </w:tc>
                              <w:tc>
                                <w:tcPr>
                                  <w:tcW w:w="1814" w:type="dxa"/>
                                </w:tcPr>
                                <w:p w14:paraId="60CFDE1F" w14:textId="77777777" w:rsidR="001F7D7E" w:rsidRPr="00257DEF" w:rsidRDefault="001F7D7E" w:rsidP="001F7D7E">
                                  <w:pPr>
                                    <w:pStyle w:val="TAC"/>
                                  </w:pPr>
                                  <w:r w:rsidRPr="00257DEF">
                                    <w:t>≤ 8.7</w:t>
                                  </w:r>
                                </w:p>
                              </w:tc>
                              <w:tc>
                                <w:tcPr>
                                  <w:tcW w:w="1812" w:type="dxa"/>
                                </w:tcPr>
                                <w:p w14:paraId="21892960" w14:textId="77777777" w:rsidR="001F7D7E" w:rsidRPr="00257DEF" w:rsidRDefault="001F7D7E" w:rsidP="001F7D7E">
                                  <w:pPr>
                                    <w:pStyle w:val="TAC"/>
                                  </w:pPr>
                                  <w:r w:rsidRPr="00257DEF">
                                    <w:t>≤ 9.2</w:t>
                                  </w:r>
                                </w:p>
                              </w:tc>
                            </w:tr>
                            <w:tr w:rsidR="001F7D7E" w:rsidRPr="00257DEF" w14:paraId="5A20BF27" w14:textId="77777777" w:rsidTr="00675BAC">
                              <w:trPr>
                                <w:jc w:val="center"/>
                              </w:trPr>
                              <w:tc>
                                <w:tcPr>
                                  <w:tcW w:w="1952" w:type="dxa"/>
                                  <w:vMerge/>
                                  <w:shd w:val="clear" w:color="auto" w:fill="auto"/>
                                </w:tcPr>
                                <w:p w14:paraId="28FA740F" w14:textId="77777777" w:rsidR="001F7D7E" w:rsidRPr="00257DEF" w:rsidRDefault="001F7D7E" w:rsidP="001F7D7E">
                                  <w:pPr>
                                    <w:pStyle w:val="TAC"/>
                                  </w:pPr>
                                </w:p>
                              </w:tc>
                              <w:tc>
                                <w:tcPr>
                                  <w:tcW w:w="1943" w:type="dxa"/>
                                  <w:shd w:val="clear" w:color="auto" w:fill="auto"/>
                                </w:tcPr>
                                <w:p w14:paraId="2B4320AB" w14:textId="77777777" w:rsidR="001F7D7E" w:rsidRPr="00257DEF" w:rsidRDefault="001F7D7E" w:rsidP="001F7D7E">
                                  <w:pPr>
                                    <w:pStyle w:val="TAC"/>
                                  </w:pPr>
                                  <w:r w:rsidRPr="00257DEF">
                                    <w:t>64 QAM</w:t>
                                  </w:r>
                                </w:p>
                              </w:tc>
                              <w:tc>
                                <w:tcPr>
                                  <w:tcW w:w="2110" w:type="dxa"/>
                                  <w:shd w:val="clear" w:color="auto" w:fill="auto"/>
                                </w:tcPr>
                                <w:p w14:paraId="494902F5" w14:textId="77777777" w:rsidR="001F7D7E" w:rsidRPr="00257DEF" w:rsidRDefault="001F7D7E" w:rsidP="001F7D7E">
                                  <w:pPr>
                                    <w:pStyle w:val="TAC"/>
                                  </w:pPr>
                                  <w:r w:rsidRPr="00257DEF">
                                    <w:t>≤ 9.0</w:t>
                                  </w:r>
                                </w:p>
                              </w:tc>
                              <w:tc>
                                <w:tcPr>
                                  <w:tcW w:w="1814" w:type="dxa"/>
                                </w:tcPr>
                                <w:p w14:paraId="11034BBF" w14:textId="77777777" w:rsidR="001F7D7E" w:rsidRPr="00257DEF" w:rsidRDefault="001F7D7E" w:rsidP="001F7D7E">
                                  <w:pPr>
                                    <w:pStyle w:val="TAC"/>
                                  </w:pPr>
                                  <w:r w:rsidRPr="00257DEF">
                                    <w:t>≤ 10.7</w:t>
                                  </w:r>
                                </w:p>
                              </w:tc>
                              <w:tc>
                                <w:tcPr>
                                  <w:tcW w:w="1812" w:type="dxa"/>
                                </w:tcPr>
                                <w:p w14:paraId="467D9097" w14:textId="77777777" w:rsidR="001F7D7E" w:rsidRPr="00257DEF" w:rsidRDefault="001F7D7E" w:rsidP="001F7D7E">
                                  <w:pPr>
                                    <w:pStyle w:val="TAC"/>
                                  </w:pPr>
                                  <w:r w:rsidRPr="00257DEF">
                                    <w:t>≤ 11.2</w:t>
                                  </w:r>
                                </w:p>
                              </w:tc>
                            </w:tr>
                            <w:tr w:rsidR="001F7D7E" w:rsidRPr="00257DEF" w14:paraId="2DAB6979" w14:textId="77777777" w:rsidTr="00675BAC">
                              <w:trPr>
                                <w:jc w:val="center"/>
                              </w:trPr>
                              <w:tc>
                                <w:tcPr>
                                  <w:tcW w:w="9631" w:type="dxa"/>
                                  <w:gridSpan w:val="5"/>
                                  <w:shd w:val="clear" w:color="auto" w:fill="auto"/>
                                  <w:vAlign w:val="center"/>
                                </w:tcPr>
                                <w:p w14:paraId="35523441" w14:textId="77777777" w:rsidR="001F7D7E" w:rsidRPr="00257DEF" w:rsidRDefault="001F7D7E" w:rsidP="001F7D7E">
                                  <w:pPr>
                                    <w:pStyle w:val="TAN"/>
                                  </w:pPr>
                                  <w:r w:rsidRPr="00257DEF">
                                    <w:rPr>
                                      <w:lang w:eastAsia="ko-KR"/>
                                    </w:rPr>
                                    <w:t>NOTE 1:</w:t>
                                  </w:r>
                                  <w:r w:rsidRPr="00257DEF">
                                    <w:tab/>
                                  </w:r>
                                  <w:r w:rsidRPr="00257DEF">
                                    <w:rPr>
                                      <w:lang w:eastAsia="ko-KR"/>
                                    </w:rPr>
                                    <w:t>(Void).</w:t>
                                  </w:r>
                                </w:p>
                              </w:tc>
                            </w:tr>
                          </w:tbl>
                          <w:p w14:paraId="75D3DA2F" w14:textId="01B1070D" w:rsidR="001F7D7E" w:rsidRDefault="001F7D7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A4CED" id="_x0000_t202" coordsize="21600,21600" o:spt="202" path="m,l,21600r21600,l21600,xe">
                <v:stroke joinstyle="miter"/>
                <v:path gradientshapeok="t" o:connecttype="rect"/>
              </v:shapetype>
              <v:shape id="Text Box 2" o:spid="_x0000_s1026" type="#_x0000_t202" style="position:absolute;margin-left:0;margin-top:25.7pt;width:478.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">
                <v:textbox style="mso-fit-shape-to-text:t">
                  <w:txbxContent>
                    <w:p w14:paraId="17BA6136" w14:textId="77777777" w:rsidR="001F7D7E" w:rsidRPr="00C92B04" w:rsidRDefault="001F7D7E" w:rsidP="001F7D7E">
                      <w:bookmarkStart w:id="3" w:name="_Toc21339336"/>
                      <w:r w:rsidRPr="00C92B04">
                        <w:t>6.2A.2.4</w:t>
                      </w:r>
                      <w:r w:rsidRPr="00C92B04">
                        <w:tab/>
                        <w:t>Maximum output power reduction for power class 3</w:t>
                      </w:r>
                      <w:bookmarkEnd w:id="3"/>
                    </w:p>
                    <w:p w14:paraId="643016DA" w14:textId="77777777" w:rsidR="001F7D7E" w:rsidRPr="00257DEF" w:rsidRDefault="001F7D7E" w:rsidP="001F7D7E">
                      <w:r w:rsidRPr="00257DEF">
                        <w:t>For power class 3, MPR for UL contiguous allocations within the cumulative aggregated bandwidth is denoted as MPR</w:t>
                      </w:r>
                      <w:r w:rsidRPr="00257DEF">
                        <w:rPr>
                          <w:vertAlign w:val="subscript"/>
                        </w:rPr>
                        <w:t>C_CA</w:t>
                      </w:r>
                      <w:r w:rsidRPr="00257DEF">
                        <w:t xml:space="preserve"> and is defined in Table 6.2A.2.4-1.</w:t>
                      </w:r>
                    </w:p>
                    <w:p w14:paraId="23E998EA" w14:textId="77777777" w:rsidR="001F7D7E" w:rsidRPr="00257DEF" w:rsidRDefault="001F7D7E" w:rsidP="001F7D7E">
                      <w:pPr>
                        <w:pStyle w:val="TH"/>
                      </w:pPr>
                      <w:r w:rsidRPr="00257DEF">
                        <w:t>Table 6.2A.2.4-1: Maximum power reduction (MPR</w:t>
                      </w:r>
                      <w:r w:rsidRPr="00257DEF">
                        <w:rPr>
                          <w:vertAlign w:val="subscript"/>
                        </w:rPr>
                        <w:t>C_CA</w:t>
                      </w:r>
                      <w:r w:rsidRPr="00257DE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74"/>
                        <w:gridCol w:w="2024"/>
                        <w:gridCol w:w="1745"/>
                        <w:gridCol w:w="1745"/>
                      </w:tblGrid>
                      <w:tr w:rsidR="001F7D7E" w:rsidRPr="00257DEF" w14:paraId="27924DFC" w14:textId="77777777" w:rsidTr="00675BAC">
                        <w:trPr>
                          <w:jc w:val="center"/>
                        </w:trPr>
                        <w:tc>
                          <w:tcPr>
                            <w:tcW w:w="3895" w:type="dxa"/>
                            <w:gridSpan w:val="2"/>
                            <w:vMerge w:val="restart"/>
                            <w:shd w:val="clear" w:color="auto" w:fill="auto"/>
                          </w:tcPr>
                          <w:p w14:paraId="539C1C2D" w14:textId="77777777" w:rsidR="001F7D7E" w:rsidRPr="00257DEF" w:rsidRDefault="001F7D7E" w:rsidP="001F7D7E">
                            <w:pPr>
                              <w:pStyle w:val="TAH"/>
                            </w:pPr>
                          </w:p>
                        </w:tc>
                        <w:tc>
                          <w:tcPr>
                            <w:tcW w:w="5736" w:type="dxa"/>
                            <w:gridSpan w:val="3"/>
                            <w:shd w:val="clear" w:color="auto" w:fill="auto"/>
                          </w:tcPr>
                          <w:p w14:paraId="26F1DC04" w14:textId="77777777" w:rsidR="001F7D7E" w:rsidRPr="00257DEF" w:rsidRDefault="001F7D7E" w:rsidP="001F7D7E">
                            <w:pPr>
                              <w:pStyle w:val="TAH"/>
                            </w:pPr>
                            <w:r w:rsidRPr="00257DEF">
                              <w:t>Cumulative aggregated bandwidth configuration</w:t>
                            </w:r>
                          </w:p>
                        </w:tc>
                      </w:tr>
                      <w:tr w:rsidR="001F7D7E" w:rsidRPr="00257DEF" w14:paraId="798CE20C" w14:textId="77777777" w:rsidTr="00675BAC">
                        <w:trPr>
                          <w:jc w:val="center"/>
                        </w:trPr>
                        <w:tc>
                          <w:tcPr>
                            <w:tcW w:w="3895" w:type="dxa"/>
                            <w:gridSpan w:val="2"/>
                            <w:vMerge/>
                            <w:shd w:val="clear" w:color="auto" w:fill="auto"/>
                          </w:tcPr>
                          <w:p w14:paraId="32C68FCB" w14:textId="77777777" w:rsidR="001F7D7E" w:rsidRPr="00257DEF" w:rsidRDefault="001F7D7E" w:rsidP="001F7D7E">
                            <w:pPr>
                              <w:pStyle w:val="TAH"/>
                            </w:pPr>
                          </w:p>
                        </w:tc>
                        <w:tc>
                          <w:tcPr>
                            <w:tcW w:w="2110" w:type="dxa"/>
                            <w:shd w:val="clear" w:color="auto" w:fill="auto"/>
                          </w:tcPr>
                          <w:p w14:paraId="06873105" w14:textId="77777777" w:rsidR="001F7D7E" w:rsidRPr="00257DEF" w:rsidRDefault="001F7D7E" w:rsidP="001F7D7E">
                            <w:pPr>
                              <w:pStyle w:val="TAH"/>
                            </w:pPr>
                            <w:r w:rsidRPr="00C92B04">
                              <w:rPr>
                                <w:rFonts w:eastAsia="Yu Mincho" w:cs="Arial"/>
                                <w:lang w:eastAsia="ja-JP"/>
                              </w:rPr>
                              <w:t>≤</w:t>
                            </w:r>
                            <w:r>
                              <w:t xml:space="preserve"> 400 MHz</w:t>
                            </w:r>
                          </w:p>
                        </w:tc>
                        <w:tc>
                          <w:tcPr>
                            <w:tcW w:w="1814" w:type="dxa"/>
                          </w:tcPr>
                          <w:p w14:paraId="0B70513B" w14:textId="77777777" w:rsidR="001F7D7E" w:rsidRPr="00257DEF" w:rsidRDefault="001F7D7E" w:rsidP="001F7D7E">
                            <w:pPr>
                              <w:pStyle w:val="TAH"/>
                            </w:pPr>
                            <w:r>
                              <w:rPr>
                                <w:rFonts w:cs="Arial"/>
                              </w:rPr>
                              <w:t xml:space="preserve">&gt; </w:t>
                            </w:r>
                            <w:r>
                              <w:t>400 MHz and &lt; 800 MHz</w:t>
                            </w:r>
                          </w:p>
                        </w:tc>
                        <w:tc>
                          <w:tcPr>
                            <w:tcW w:w="1812" w:type="dxa"/>
                          </w:tcPr>
                          <w:p w14:paraId="6EE8F1B0" w14:textId="77777777" w:rsidR="001F7D7E" w:rsidRPr="00257DEF" w:rsidRDefault="001F7D7E" w:rsidP="001F7D7E">
                            <w:pPr>
                              <w:pStyle w:val="TAH"/>
                            </w:pPr>
                            <w:r w:rsidRPr="00257DEF">
                              <w:rPr>
                                <w:rFonts w:cs="Arial"/>
                              </w:rPr>
                              <w:t>≥</w:t>
                            </w:r>
                            <w:r w:rsidRPr="00257DEF">
                              <w:t xml:space="preserve"> 800 MHz and </w:t>
                            </w:r>
                            <w:r w:rsidRPr="00257DEF">
                              <w:rPr>
                                <w:rFonts w:cs="Arial"/>
                              </w:rPr>
                              <w:t>≤</w:t>
                            </w:r>
                            <w:r w:rsidRPr="00257DEF">
                              <w:t xml:space="preserve"> 1400 MHz</w:t>
                            </w:r>
                          </w:p>
                        </w:tc>
                      </w:tr>
                      <w:tr w:rsidR="001F7D7E" w:rsidRPr="00257DEF" w14:paraId="1602540D" w14:textId="77777777" w:rsidTr="00675BAC">
                        <w:trPr>
                          <w:jc w:val="center"/>
                        </w:trPr>
                        <w:tc>
                          <w:tcPr>
                            <w:tcW w:w="1952" w:type="dxa"/>
                            <w:vMerge w:val="restart"/>
                            <w:shd w:val="clear" w:color="auto" w:fill="auto"/>
                            <w:vAlign w:val="center"/>
                          </w:tcPr>
                          <w:p w14:paraId="2CC8E2F7" w14:textId="77777777" w:rsidR="001F7D7E" w:rsidRPr="00257DEF" w:rsidRDefault="001F7D7E" w:rsidP="001F7D7E">
                            <w:pPr>
                              <w:pStyle w:val="TAC"/>
                            </w:pPr>
                            <w:r w:rsidRPr="00257DEF">
                              <w:t>DFT-s-OFDM</w:t>
                            </w:r>
                          </w:p>
                        </w:tc>
                        <w:tc>
                          <w:tcPr>
                            <w:tcW w:w="1943" w:type="dxa"/>
                            <w:shd w:val="clear" w:color="auto" w:fill="auto"/>
                          </w:tcPr>
                          <w:p w14:paraId="31B7FA45" w14:textId="77777777" w:rsidR="001F7D7E" w:rsidRPr="00257DEF" w:rsidRDefault="001F7D7E" w:rsidP="001F7D7E">
                            <w:pPr>
                              <w:pStyle w:val="TAC"/>
                            </w:pPr>
                            <w:r w:rsidRPr="00257DEF">
                              <w:t>Pi/2 BPSK</w:t>
                            </w:r>
                          </w:p>
                        </w:tc>
                        <w:tc>
                          <w:tcPr>
                            <w:tcW w:w="2110" w:type="dxa"/>
                            <w:shd w:val="clear" w:color="auto" w:fill="auto"/>
                          </w:tcPr>
                          <w:p w14:paraId="7A08E90D" w14:textId="77777777" w:rsidR="001F7D7E" w:rsidRPr="00257DEF" w:rsidRDefault="001F7D7E" w:rsidP="001F7D7E">
                            <w:pPr>
                              <w:pStyle w:val="TAC"/>
                            </w:pPr>
                            <w:r w:rsidRPr="00257DEF">
                              <w:t>≤ 5.0</w:t>
                            </w:r>
                          </w:p>
                        </w:tc>
                        <w:tc>
                          <w:tcPr>
                            <w:tcW w:w="1814" w:type="dxa"/>
                          </w:tcPr>
                          <w:p w14:paraId="42E19C92" w14:textId="77777777" w:rsidR="001F7D7E" w:rsidRPr="00257DEF" w:rsidRDefault="001F7D7E" w:rsidP="001F7D7E">
                            <w:pPr>
                              <w:pStyle w:val="TAC"/>
                            </w:pPr>
                            <w:r w:rsidRPr="00257DEF">
                              <w:t>≤ 7.7</w:t>
                            </w:r>
                          </w:p>
                        </w:tc>
                        <w:tc>
                          <w:tcPr>
                            <w:tcW w:w="1812" w:type="dxa"/>
                          </w:tcPr>
                          <w:p w14:paraId="644068D3" w14:textId="77777777" w:rsidR="001F7D7E" w:rsidRPr="00257DEF" w:rsidRDefault="001F7D7E" w:rsidP="001F7D7E">
                            <w:pPr>
                              <w:pStyle w:val="TAC"/>
                            </w:pPr>
                            <w:r w:rsidRPr="00257DEF">
                              <w:t>≤ 8.2</w:t>
                            </w:r>
                          </w:p>
                        </w:tc>
                      </w:tr>
                      <w:tr w:rsidR="001F7D7E" w:rsidRPr="00257DEF" w14:paraId="12ADFD03" w14:textId="77777777" w:rsidTr="00675BAC">
                        <w:trPr>
                          <w:jc w:val="center"/>
                        </w:trPr>
                        <w:tc>
                          <w:tcPr>
                            <w:tcW w:w="1952" w:type="dxa"/>
                            <w:vMerge/>
                            <w:shd w:val="clear" w:color="auto" w:fill="auto"/>
                            <w:vAlign w:val="center"/>
                          </w:tcPr>
                          <w:p w14:paraId="725F31B0" w14:textId="77777777" w:rsidR="001F7D7E" w:rsidRPr="00257DEF" w:rsidRDefault="001F7D7E" w:rsidP="001F7D7E">
                            <w:pPr>
                              <w:pStyle w:val="TAC"/>
                            </w:pPr>
                          </w:p>
                        </w:tc>
                        <w:tc>
                          <w:tcPr>
                            <w:tcW w:w="1943" w:type="dxa"/>
                            <w:shd w:val="clear" w:color="auto" w:fill="auto"/>
                          </w:tcPr>
                          <w:p w14:paraId="49022B44" w14:textId="77777777" w:rsidR="001F7D7E" w:rsidRPr="00257DEF" w:rsidRDefault="001F7D7E" w:rsidP="001F7D7E">
                            <w:pPr>
                              <w:pStyle w:val="TAC"/>
                            </w:pPr>
                            <w:r w:rsidRPr="00257DEF">
                              <w:t>QPSK</w:t>
                            </w:r>
                          </w:p>
                        </w:tc>
                        <w:tc>
                          <w:tcPr>
                            <w:tcW w:w="2110" w:type="dxa"/>
                            <w:shd w:val="clear" w:color="auto" w:fill="auto"/>
                          </w:tcPr>
                          <w:p w14:paraId="7342B321" w14:textId="77777777" w:rsidR="001F7D7E" w:rsidRPr="00257DEF" w:rsidRDefault="001F7D7E" w:rsidP="001F7D7E">
                            <w:pPr>
                              <w:pStyle w:val="TAC"/>
                            </w:pPr>
                            <w:r w:rsidRPr="00257DEF">
                              <w:t>≤ 5.0</w:t>
                            </w:r>
                          </w:p>
                        </w:tc>
                        <w:tc>
                          <w:tcPr>
                            <w:tcW w:w="1814" w:type="dxa"/>
                          </w:tcPr>
                          <w:p w14:paraId="60DEFA9D" w14:textId="77777777" w:rsidR="001F7D7E" w:rsidRPr="00257DEF" w:rsidRDefault="001F7D7E" w:rsidP="001F7D7E">
                            <w:pPr>
                              <w:pStyle w:val="TAC"/>
                            </w:pPr>
                            <w:r w:rsidRPr="00257DEF">
                              <w:t>≤ 7.7</w:t>
                            </w:r>
                          </w:p>
                        </w:tc>
                        <w:tc>
                          <w:tcPr>
                            <w:tcW w:w="1812" w:type="dxa"/>
                          </w:tcPr>
                          <w:p w14:paraId="65413C2A" w14:textId="77777777" w:rsidR="001F7D7E" w:rsidRPr="00257DEF" w:rsidRDefault="001F7D7E" w:rsidP="001F7D7E">
                            <w:pPr>
                              <w:pStyle w:val="TAC"/>
                            </w:pPr>
                            <w:r w:rsidRPr="00257DEF">
                              <w:t>≤ 8.2</w:t>
                            </w:r>
                          </w:p>
                        </w:tc>
                      </w:tr>
                      <w:tr w:rsidR="001F7D7E" w:rsidRPr="00257DEF" w14:paraId="72943C3F" w14:textId="77777777" w:rsidTr="00675BAC">
                        <w:trPr>
                          <w:jc w:val="center"/>
                        </w:trPr>
                        <w:tc>
                          <w:tcPr>
                            <w:tcW w:w="1952" w:type="dxa"/>
                            <w:vMerge/>
                            <w:shd w:val="clear" w:color="auto" w:fill="auto"/>
                            <w:vAlign w:val="center"/>
                          </w:tcPr>
                          <w:p w14:paraId="37D02931" w14:textId="77777777" w:rsidR="001F7D7E" w:rsidRPr="00257DEF" w:rsidRDefault="001F7D7E" w:rsidP="001F7D7E">
                            <w:pPr>
                              <w:pStyle w:val="TAC"/>
                            </w:pPr>
                          </w:p>
                        </w:tc>
                        <w:tc>
                          <w:tcPr>
                            <w:tcW w:w="1943" w:type="dxa"/>
                            <w:shd w:val="clear" w:color="auto" w:fill="auto"/>
                          </w:tcPr>
                          <w:p w14:paraId="47C9131E" w14:textId="77777777" w:rsidR="001F7D7E" w:rsidRPr="00257DEF" w:rsidRDefault="001F7D7E" w:rsidP="001F7D7E">
                            <w:pPr>
                              <w:pStyle w:val="TAC"/>
                            </w:pPr>
                            <w:r w:rsidRPr="00257DEF">
                              <w:t>16 QAM</w:t>
                            </w:r>
                          </w:p>
                        </w:tc>
                        <w:tc>
                          <w:tcPr>
                            <w:tcW w:w="2110" w:type="dxa"/>
                            <w:shd w:val="clear" w:color="auto" w:fill="auto"/>
                          </w:tcPr>
                          <w:p w14:paraId="07EF4955" w14:textId="77777777" w:rsidR="001F7D7E" w:rsidRPr="00257DEF" w:rsidRDefault="001F7D7E" w:rsidP="001F7D7E">
                            <w:pPr>
                              <w:pStyle w:val="TAC"/>
                            </w:pPr>
                            <w:r w:rsidRPr="00257DEF">
                              <w:t>≤ 6.5</w:t>
                            </w:r>
                          </w:p>
                        </w:tc>
                        <w:tc>
                          <w:tcPr>
                            <w:tcW w:w="1814" w:type="dxa"/>
                          </w:tcPr>
                          <w:p w14:paraId="01DCF6C8" w14:textId="77777777" w:rsidR="001F7D7E" w:rsidRPr="00257DEF" w:rsidRDefault="001F7D7E" w:rsidP="001F7D7E">
                            <w:pPr>
                              <w:pStyle w:val="TAC"/>
                            </w:pPr>
                            <w:r w:rsidRPr="00257DEF">
                              <w:t>≤ 8.7</w:t>
                            </w:r>
                          </w:p>
                        </w:tc>
                        <w:tc>
                          <w:tcPr>
                            <w:tcW w:w="1812" w:type="dxa"/>
                          </w:tcPr>
                          <w:p w14:paraId="14F41347" w14:textId="77777777" w:rsidR="001F7D7E" w:rsidRPr="00257DEF" w:rsidRDefault="001F7D7E" w:rsidP="001F7D7E">
                            <w:pPr>
                              <w:pStyle w:val="TAC"/>
                            </w:pPr>
                            <w:r w:rsidRPr="00257DEF">
                              <w:t>≤ 9.2</w:t>
                            </w:r>
                          </w:p>
                        </w:tc>
                      </w:tr>
                      <w:tr w:rsidR="001F7D7E" w:rsidRPr="00257DEF" w14:paraId="65FEA79C" w14:textId="77777777" w:rsidTr="00675BAC">
                        <w:trPr>
                          <w:jc w:val="center"/>
                        </w:trPr>
                        <w:tc>
                          <w:tcPr>
                            <w:tcW w:w="1952" w:type="dxa"/>
                            <w:vMerge/>
                            <w:shd w:val="clear" w:color="auto" w:fill="auto"/>
                            <w:vAlign w:val="center"/>
                          </w:tcPr>
                          <w:p w14:paraId="3BD8293C" w14:textId="77777777" w:rsidR="001F7D7E" w:rsidRPr="00257DEF" w:rsidRDefault="001F7D7E" w:rsidP="001F7D7E">
                            <w:pPr>
                              <w:pStyle w:val="TAC"/>
                            </w:pPr>
                          </w:p>
                        </w:tc>
                        <w:tc>
                          <w:tcPr>
                            <w:tcW w:w="1943" w:type="dxa"/>
                            <w:shd w:val="clear" w:color="auto" w:fill="auto"/>
                          </w:tcPr>
                          <w:p w14:paraId="6EB2AF72" w14:textId="77777777" w:rsidR="001F7D7E" w:rsidRPr="00257DEF" w:rsidRDefault="001F7D7E" w:rsidP="001F7D7E">
                            <w:pPr>
                              <w:pStyle w:val="TAC"/>
                            </w:pPr>
                            <w:r w:rsidRPr="00257DEF">
                              <w:t>64 QAM</w:t>
                            </w:r>
                          </w:p>
                        </w:tc>
                        <w:tc>
                          <w:tcPr>
                            <w:tcW w:w="2110" w:type="dxa"/>
                            <w:shd w:val="clear" w:color="auto" w:fill="auto"/>
                          </w:tcPr>
                          <w:p w14:paraId="5801A1A6" w14:textId="77777777" w:rsidR="001F7D7E" w:rsidRPr="00257DEF" w:rsidRDefault="001F7D7E" w:rsidP="001F7D7E">
                            <w:pPr>
                              <w:pStyle w:val="TAC"/>
                            </w:pPr>
                            <w:r w:rsidRPr="00257DEF">
                              <w:t>≤ 9.0</w:t>
                            </w:r>
                          </w:p>
                        </w:tc>
                        <w:tc>
                          <w:tcPr>
                            <w:tcW w:w="1814" w:type="dxa"/>
                          </w:tcPr>
                          <w:p w14:paraId="51A3333F" w14:textId="77777777" w:rsidR="001F7D7E" w:rsidRPr="00257DEF" w:rsidRDefault="001F7D7E" w:rsidP="001F7D7E">
                            <w:pPr>
                              <w:pStyle w:val="TAC"/>
                            </w:pPr>
                            <w:r w:rsidRPr="00257DEF">
                              <w:t>≤ 10.7</w:t>
                            </w:r>
                          </w:p>
                        </w:tc>
                        <w:tc>
                          <w:tcPr>
                            <w:tcW w:w="1812" w:type="dxa"/>
                          </w:tcPr>
                          <w:p w14:paraId="7CF1DED6" w14:textId="77777777" w:rsidR="001F7D7E" w:rsidRPr="00257DEF" w:rsidRDefault="001F7D7E" w:rsidP="001F7D7E">
                            <w:pPr>
                              <w:pStyle w:val="TAC"/>
                            </w:pPr>
                            <w:r w:rsidRPr="00257DEF">
                              <w:t>≤ 11.2</w:t>
                            </w:r>
                          </w:p>
                        </w:tc>
                      </w:tr>
                      <w:tr w:rsidR="001F7D7E" w:rsidRPr="00257DEF" w14:paraId="789C401C" w14:textId="77777777" w:rsidTr="00675BAC">
                        <w:trPr>
                          <w:jc w:val="center"/>
                        </w:trPr>
                        <w:tc>
                          <w:tcPr>
                            <w:tcW w:w="1952" w:type="dxa"/>
                            <w:vMerge w:val="restart"/>
                            <w:shd w:val="clear" w:color="auto" w:fill="auto"/>
                            <w:vAlign w:val="center"/>
                          </w:tcPr>
                          <w:p w14:paraId="7570ECDA" w14:textId="77777777" w:rsidR="001F7D7E" w:rsidRPr="00257DEF" w:rsidRDefault="001F7D7E" w:rsidP="001F7D7E">
                            <w:pPr>
                              <w:pStyle w:val="TAC"/>
                            </w:pPr>
                            <w:r w:rsidRPr="00257DEF">
                              <w:t>CP-OFDM</w:t>
                            </w:r>
                          </w:p>
                        </w:tc>
                        <w:tc>
                          <w:tcPr>
                            <w:tcW w:w="1943" w:type="dxa"/>
                            <w:shd w:val="clear" w:color="auto" w:fill="auto"/>
                          </w:tcPr>
                          <w:p w14:paraId="083B5797" w14:textId="77777777" w:rsidR="001F7D7E" w:rsidRPr="00257DEF" w:rsidRDefault="001F7D7E" w:rsidP="001F7D7E">
                            <w:pPr>
                              <w:pStyle w:val="TAC"/>
                            </w:pPr>
                            <w:r w:rsidRPr="00257DEF">
                              <w:t>QPSK</w:t>
                            </w:r>
                          </w:p>
                        </w:tc>
                        <w:tc>
                          <w:tcPr>
                            <w:tcW w:w="2110" w:type="dxa"/>
                            <w:shd w:val="clear" w:color="auto" w:fill="auto"/>
                          </w:tcPr>
                          <w:p w14:paraId="679C0103" w14:textId="77777777" w:rsidR="001F7D7E" w:rsidRPr="00257DEF" w:rsidRDefault="001F7D7E" w:rsidP="001F7D7E">
                            <w:pPr>
                              <w:pStyle w:val="TAC"/>
                            </w:pPr>
                            <w:r w:rsidRPr="00257DEF">
                              <w:t>≤ 5.0</w:t>
                            </w:r>
                          </w:p>
                        </w:tc>
                        <w:tc>
                          <w:tcPr>
                            <w:tcW w:w="1814" w:type="dxa"/>
                          </w:tcPr>
                          <w:p w14:paraId="66DFC307" w14:textId="77777777" w:rsidR="001F7D7E" w:rsidRPr="00257DEF" w:rsidRDefault="001F7D7E" w:rsidP="001F7D7E">
                            <w:pPr>
                              <w:pStyle w:val="TAC"/>
                            </w:pPr>
                            <w:r w:rsidRPr="00257DEF">
                              <w:t>≤ 7.7</w:t>
                            </w:r>
                          </w:p>
                        </w:tc>
                        <w:tc>
                          <w:tcPr>
                            <w:tcW w:w="1812" w:type="dxa"/>
                          </w:tcPr>
                          <w:p w14:paraId="3149D5CF" w14:textId="77777777" w:rsidR="001F7D7E" w:rsidRPr="00257DEF" w:rsidRDefault="001F7D7E" w:rsidP="001F7D7E">
                            <w:pPr>
                              <w:pStyle w:val="TAC"/>
                            </w:pPr>
                            <w:r w:rsidRPr="00257DEF">
                              <w:t>≤ 8.2</w:t>
                            </w:r>
                          </w:p>
                        </w:tc>
                      </w:tr>
                      <w:tr w:rsidR="001F7D7E" w:rsidRPr="00257DEF" w14:paraId="260500BF" w14:textId="77777777" w:rsidTr="00675BAC">
                        <w:trPr>
                          <w:jc w:val="center"/>
                        </w:trPr>
                        <w:tc>
                          <w:tcPr>
                            <w:tcW w:w="1952" w:type="dxa"/>
                            <w:vMerge/>
                            <w:shd w:val="clear" w:color="auto" w:fill="auto"/>
                          </w:tcPr>
                          <w:p w14:paraId="1D54712E" w14:textId="77777777" w:rsidR="001F7D7E" w:rsidRPr="00257DEF" w:rsidRDefault="001F7D7E" w:rsidP="001F7D7E">
                            <w:pPr>
                              <w:pStyle w:val="TAC"/>
                            </w:pPr>
                          </w:p>
                        </w:tc>
                        <w:tc>
                          <w:tcPr>
                            <w:tcW w:w="1943" w:type="dxa"/>
                            <w:shd w:val="clear" w:color="auto" w:fill="auto"/>
                          </w:tcPr>
                          <w:p w14:paraId="4B86A0B1" w14:textId="77777777" w:rsidR="001F7D7E" w:rsidRPr="00257DEF" w:rsidRDefault="001F7D7E" w:rsidP="001F7D7E">
                            <w:pPr>
                              <w:pStyle w:val="TAC"/>
                            </w:pPr>
                            <w:r w:rsidRPr="00257DEF">
                              <w:t>16 QAM</w:t>
                            </w:r>
                          </w:p>
                        </w:tc>
                        <w:tc>
                          <w:tcPr>
                            <w:tcW w:w="2110" w:type="dxa"/>
                            <w:shd w:val="clear" w:color="auto" w:fill="auto"/>
                          </w:tcPr>
                          <w:p w14:paraId="06CF7BDF" w14:textId="77777777" w:rsidR="001F7D7E" w:rsidRPr="00257DEF" w:rsidRDefault="001F7D7E" w:rsidP="001F7D7E">
                            <w:pPr>
                              <w:pStyle w:val="TAC"/>
                            </w:pPr>
                            <w:r w:rsidRPr="00257DEF">
                              <w:t>≤ 6.5</w:t>
                            </w:r>
                          </w:p>
                        </w:tc>
                        <w:tc>
                          <w:tcPr>
                            <w:tcW w:w="1814" w:type="dxa"/>
                          </w:tcPr>
                          <w:p w14:paraId="60CFDE1F" w14:textId="77777777" w:rsidR="001F7D7E" w:rsidRPr="00257DEF" w:rsidRDefault="001F7D7E" w:rsidP="001F7D7E">
                            <w:pPr>
                              <w:pStyle w:val="TAC"/>
                            </w:pPr>
                            <w:r w:rsidRPr="00257DEF">
                              <w:t>≤ 8.7</w:t>
                            </w:r>
                          </w:p>
                        </w:tc>
                        <w:tc>
                          <w:tcPr>
                            <w:tcW w:w="1812" w:type="dxa"/>
                          </w:tcPr>
                          <w:p w14:paraId="21892960" w14:textId="77777777" w:rsidR="001F7D7E" w:rsidRPr="00257DEF" w:rsidRDefault="001F7D7E" w:rsidP="001F7D7E">
                            <w:pPr>
                              <w:pStyle w:val="TAC"/>
                            </w:pPr>
                            <w:r w:rsidRPr="00257DEF">
                              <w:t>≤ 9.2</w:t>
                            </w:r>
                          </w:p>
                        </w:tc>
                      </w:tr>
                      <w:tr w:rsidR="001F7D7E" w:rsidRPr="00257DEF" w14:paraId="5A20BF27" w14:textId="77777777" w:rsidTr="00675BAC">
                        <w:trPr>
                          <w:jc w:val="center"/>
                        </w:trPr>
                        <w:tc>
                          <w:tcPr>
                            <w:tcW w:w="1952" w:type="dxa"/>
                            <w:vMerge/>
                            <w:shd w:val="clear" w:color="auto" w:fill="auto"/>
                          </w:tcPr>
                          <w:p w14:paraId="28FA740F" w14:textId="77777777" w:rsidR="001F7D7E" w:rsidRPr="00257DEF" w:rsidRDefault="001F7D7E" w:rsidP="001F7D7E">
                            <w:pPr>
                              <w:pStyle w:val="TAC"/>
                            </w:pPr>
                          </w:p>
                        </w:tc>
                        <w:tc>
                          <w:tcPr>
                            <w:tcW w:w="1943" w:type="dxa"/>
                            <w:shd w:val="clear" w:color="auto" w:fill="auto"/>
                          </w:tcPr>
                          <w:p w14:paraId="2B4320AB" w14:textId="77777777" w:rsidR="001F7D7E" w:rsidRPr="00257DEF" w:rsidRDefault="001F7D7E" w:rsidP="001F7D7E">
                            <w:pPr>
                              <w:pStyle w:val="TAC"/>
                            </w:pPr>
                            <w:r w:rsidRPr="00257DEF">
                              <w:t>64 QAM</w:t>
                            </w:r>
                          </w:p>
                        </w:tc>
                        <w:tc>
                          <w:tcPr>
                            <w:tcW w:w="2110" w:type="dxa"/>
                            <w:shd w:val="clear" w:color="auto" w:fill="auto"/>
                          </w:tcPr>
                          <w:p w14:paraId="494902F5" w14:textId="77777777" w:rsidR="001F7D7E" w:rsidRPr="00257DEF" w:rsidRDefault="001F7D7E" w:rsidP="001F7D7E">
                            <w:pPr>
                              <w:pStyle w:val="TAC"/>
                            </w:pPr>
                            <w:r w:rsidRPr="00257DEF">
                              <w:t>≤ 9.0</w:t>
                            </w:r>
                          </w:p>
                        </w:tc>
                        <w:tc>
                          <w:tcPr>
                            <w:tcW w:w="1814" w:type="dxa"/>
                          </w:tcPr>
                          <w:p w14:paraId="11034BBF" w14:textId="77777777" w:rsidR="001F7D7E" w:rsidRPr="00257DEF" w:rsidRDefault="001F7D7E" w:rsidP="001F7D7E">
                            <w:pPr>
                              <w:pStyle w:val="TAC"/>
                            </w:pPr>
                            <w:r w:rsidRPr="00257DEF">
                              <w:t>≤ 10.7</w:t>
                            </w:r>
                          </w:p>
                        </w:tc>
                        <w:tc>
                          <w:tcPr>
                            <w:tcW w:w="1812" w:type="dxa"/>
                          </w:tcPr>
                          <w:p w14:paraId="467D9097" w14:textId="77777777" w:rsidR="001F7D7E" w:rsidRPr="00257DEF" w:rsidRDefault="001F7D7E" w:rsidP="001F7D7E">
                            <w:pPr>
                              <w:pStyle w:val="TAC"/>
                            </w:pPr>
                            <w:r w:rsidRPr="00257DEF">
                              <w:t>≤ 11.2</w:t>
                            </w:r>
                          </w:p>
                        </w:tc>
                      </w:tr>
                      <w:tr w:rsidR="001F7D7E" w:rsidRPr="00257DEF" w14:paraId="2DAB6979" w14:textId="77777777" w:rsidTr="00675BAC">
                        <w:trPr>
                          <w:jc w:val="center"/>
                        </w:trPr>
                        <w:tc>
                          <w:tcPr>
                            <w:tcW w:w="9631" w:type="dxa"/>
                            <w:gridSpan w:val="5"/>
                            <w:shd w:val="clear" w:color="auto" w:fill="auto"/>
                            <w:vAlign w:val="center"/>
                          </w:tcPr>
                          <w:p w14:paraId="35523441" w14:textId="77777777" w:rsidR="001F7D7E" w:rsidRPr="00257DEF" w:rsidRDefault="001F7D7E" w:rsidP="001F7D7E">
                            <w:pPr>
                              <w:pStyle w:val="TAN"/>
                            </w:pPr>
                            <w:r w:rsidRPr="00257DEF">
                              <w:rPr>
                                <w:lang w:eastAsia="ko-KR"/>
                              </w:rPr>
                              <w:t>NOTE 1:</w:t>
                            </w:r>
                            <w:r w:rsidRPr="00257DEF">
                              <w:tab/>
                            </w:r>
                            <w:r w:rsidRPr="00257DEF">
                              <w:rPr>
                                <w:lang w:eastAsia="ko-KR"/>
                              </w:rPr>
                              <w:t>(Void).</w:t>
                            </w:r>
                          </w:p>
                        </w:tc>
                      </w:tr>
                    </w:tbl>
                    <w:p w14:paraId="75D3DA2F" w14:textId="01B1070D" w:rsidR="001F7D7E" w:rsidRDefault="001F7D7E"/>
                  </w:txbxContent>
                </v:textbox>
                <w10:wrap type="square" anchorx="margin"/>
              </v:shape>
            </w:pict>
          </mc:Fallback>
        </mc:AlternateContent>
      </w:r>
    </w:p>
    <w:p w14:paraId="7476498F" w14:textId="77777777" w:rsidR="00EC4061" w:rsidRDefault="00EC4061" w:rsidP="00B32EDD">
      <w:pPr>
        <w:rPr>
          <w:rFonts w:ascii="Arial" w:eastAsiaTheme="minorEastAsia" w:hAnsi="Arial" w:cs="Arial"/>
          <w:sz w:val="20"/>
          <w:szCs w:val="20"/>
        </w:rPr>
      </w:pPr>
    </w:p>
    <w:p w14:paraId="0907CEF0" w14:textId="27C6CA52" w:rsidR="00C92B04" w:rsidRDefault="00C92B04" w:rsidP="00B32EDD">
      <w:pPr>
        <w:rPr>
          <w:rFonts w:ascii="Arial" w:eastAsiaTheme="minorEastAsia" w:hAnsi="Arial" w:cs="Arial"/>
          <w:sz w:val="20"/>
          <w:szCs w:val="20"/>
        </w:rPr>
      </w:pPr>
      <w:r>
        <w:rPr>
          <w:rFonts w:ascii="Arial" w:eastAsiaTheme="minorEastAsia" w:hAnsi="Arial" w:cs="Arial"/>
          <w:sz w:val="20"/>
          <w:szCs w:val="20"/>
        </w:rPr>
        <w:t xml:space="preserve">The MPR values become larger when CABW grows. </w:t>
      </w:r>
      <w:r w:rsidR="0070403D">
        <w:rPr>
          <w:rFonts w:ascii="Arial" w:eastAsiaTheme="minorEastAsia" w:hAnsi="Arial" w:cs="Arial"/>
          <w:sz w:val="20"/>
          <w:szCs w:val="20"/>
        </w:rPr>
        <w:t xml:space="preserve">The MPR values are in the range of 2~3dB higher in CABW of 800 to 1400MHz than those with CABW less than 400MHz. </w:t>
      </w:r>
      <w:r w:rsidR="00BD225A">
        <w:rPr>
          <w:rFonts w:ascii="Arial" w:eastAsiaTheme="minorEastAsia" w:hAnsi="Arial" w:cs="Arial"/>
          <w:sz w:val="20"/>
          <w:szCs w:val="20"/>
        </w:rPr>
        <w:t xml:space="preserve">While in </w:t>
      </w:r>
      <w:r w:rsidR="008136B6">
        <w:rPr>
          <w:rFonts w:ascii="Arial" w:eastAsiaTheme="minorEastAsia" w:hAnsi="Arial" w:cs="Arial"/>
          <w:sz w:val="20"/>
          <w:szCs w:val="20"/>
        </w:rPr>
        <w:t>RAN4#92 chairman note</w:t>
      </w:r>
      <w:r w:rsidR="007A74EF">
        <w:rPr>
          <w:rFonts w:ascii="Arial" w:eastAsiaTheme="minorEastAsia" w:hAnsi="Arial" w:cs="Arial"/>
          <w:sz w:val="20"/>
          <w:szCs w:val="20"/>
        </w:rPr>
        <w:t xml:space="preserve"> [1]</w:t>
      </w:r>
      <w:r w:rsidR="008136B6">
        <w:rPr>
          <w:rFonts w:ascii="Arial" w:eastAsiaTheme="minorEastAsia" w:hAnsi="Arial" w:cs="Arial"/>
          <w:sz w:val="20"/>
          <w:szCs w:val="20"/>
        </w:rPr>
        <w:t>, an agreement was reached for non-contiguous UL CA.</w:t>
      </w:r>
    </w:p>
    <w:p w14:paraId="59AD5C24" w14:textId="6AB4A6B8" w:rsidR="008136B6" w:rsidRDefault="008136B6" w:rsidP="00B32EDD">
      <w:pPr>
        <w:rPr>
          <w:rFonts w:ascii="Arial" w:eastAsiaTheme="minorEastAsia" w:hAnsi="Arial" w:cs="Arial"/>
          <w:sz w:val="20"/>
          <w:szCs w:val="20"/>
        </w:rPr>
      </w:pPr>
    </w:p>
    <w:p w14:paraId="64CA308A" w14:textId="77777777" w:rsidR="008136B6" w:rsidRPr="0060645F" w:rsidRDefault="008136B6" w:rsidP="008136B6">
      <w:pPr>
        <w:rPr>
          <w:rFonts w:ascii="Intel Clear" w:hAnsi="Intel Clear" w:cs="Intel Clear"/>
          <w:sz w:val="18"/>
          <w:szCs w:val="18"/>
          <w:lang w:eastAsia="ja-JP"/>
        </w:rPr>
      </w:pPr>
      <w:r w:rsidRPr="0060645F">
        <w:rPr>
          <w:rFonts w:ascii="Intel Clear" w:hAnsi="Intel Clear" w:cs="Intel Clear"/>
          <w:sz w:val="18"/>
          <w:szCs w:val="18"/>
          <w:highlight w:val="green"/>
          <w:lang w:eastAsia="ja-JP"/>
        </w:rPr>
        <w:t xml:space="preserve">Agreement: </w:t>
      </w:r>
      <w:r w:rsidRPr="0060645F">
        <w:rPr>
          <w:rFonts w:ascii="Intel Clear" w:hAnsi="Intel Clear" w:cs="Intel Clear"/>
          <w:sz w:val="18"/>
          <w:szCs w:val="18"/>
          <w:lang w:eastAsia="ja-JP"/>
        </w:rPr>
        <w:t>For simultaneous transmission, frequency separation is up to 1400MHz.</w:t>
      </w:r>
    </w:p>
    <w:p w14:paraId="2F6CD249" w14:textId="138A1FED" w:rsidR="008136B6" w:rsidRDefault="008136B6" w:rsidP="00B32EDD">
      <w:pPr>
        <w:rPr>
          <w:rFonts w:ascii="Arial" w:eastAsiaTheme="minorEastAsia" w:hAnsi="Arial" w:cs="Arial"/>
          <w:sz w:val="20"/>
          <w:szCs w:val="20"/>
        </w:rPr>
      </w:pPr>
    </w:p>
    <w:p w14:paraId="34F7867D" w14:textId="550C6276" w:rsidR="008136B6" w:rsidRDefault="008136B6" w:rsidP="00B32EDD">
      <w:pPr>
        <w:rPr>
          <w:rFonts w:ascii="Arial" w:eastAsiaTheme="minorEastAsia" w:hAnsi="Arial" w:cs="Arial"/>
          <w:sz w:val="20"/>
          <w:szCs w:val="20"/>
        </w:rPr>
      </w:pPr>
      <w:r>
        <w:rPr>
          <w:rFonts w:ascii="Arial" w:eastAsiaTheme="minorEastAsia" w:hAnsi="Arial" w:cs="Arial"/>
          <w:sz w:val="20"/>
          <w:szCs w:val="20"/>
        </w:rPr>
        <w:t>And furthermore, in WF [</w:t>
      </w:r>
      <w:r w:rsidR="007A74EF">
        <w:rPr>
          <w:rFonts w:ascii="Arial" w:eastAsiaTheme="minorEastAsia" w:hAnsi="Arial" w:cs="Arial"/>
          <w:sz w:val="20"/>
          <w:szCs w:val="20"/>
        </w:rPr>
        <w:t>2</w:t>
      </w:r>
      <w:r>
        <w:rPr>
          <w:rFonts w:ascii="Arial" w:eastAsiaTheme="minorEastAsia" w:hAnsi="Arial" w:cs="Arial"/>
          <w:sz w:val="20"/>
          <w:szCs w:val="20"/>
        </w:rPr>
        <w:t>] we had the following agreements for intra-band non-contiguous DL CA for aggregated BW larger than 1400MHz</w:t>
      </w:r>
    </w:p>
    <w:p w14:paraId="1F902FCA" w14:textId="26A7ABEB" w:rsidR="008136B6" w:rsidRDefault="008136B6" w:rsidP="00B32EDD">
      <w:pPr>
        <w:rPr>
          <w:rFonts w:ascii="Arial" w:eastAsiaTheme="minorEastAsia" w:hAnsi="Arial" w:cs="Arial"/>
          <w:sz w:val="20"/>
          <w:szCs w:val="20"/>
        </w:rPr>
      </w:pPr>
    </w:p>
    <w:p w14:paraId="097B10AB" w14:textId="64726676" w:rsidR="008136B6" w:rsidRDefault="008136B6" w:rsidP="00B32EDD">
      <w:pPr>
        <w:rPr>
          <w:rFonts w:ascii="Arial" w:eastAsiaTheme="minorEastAsia" w:hAnsi="Arial" w:cs="Arial"/>
          <w:sz w:val="20"/>
          <w:szCs w:val="20"/>
        </w:rPr>
      </w:pPr>
      <w:r w:rsidRPr="008136B6">
        <w:rPr>
          <w:rFonts w:ascii="Arial" w:eastAsiaTheme="minorEastAsia" w:hAnsi="Arial" w:cs="Arial"/>
          <w:sz w:val="20"/>
          <w:szCs w:val="20"/>
          <w:highlight w:val="green"/>
        </w:rPr>
        <w:t>Agreements</w:t>
      </w:r>
    </w:p>
    <w:p w14:paraId="376C5C3E" w14:textId="29047E75" w:rsidR="008136B6" w:rsidRDefault="008136B6" w:rsidP="00B32EDD">
      <w:pPr>
        <w:rPr>
          <w:rFonts w:ascii="Arial" w:eastAsiaTheme="minorEastAsia" w:hAnsi="Arial" w:cs="Arial"/>
          <w:sz w:val="20"/>
          <w:szCs w:val="20"/>
        </w:rPr>
      </w:pPr>
      <w:r>
        <w:rPr>
          <w:rFonts w:ascii="Arial" w:eastAsiaTheme="minorEastAsia" w:hAnsi="Arial" w:cs="Arial"/>
          <w:sz w:val="20"/>
          <w:szCs w:val="20"/>
        </w:rPr>
        <w:t>…</w:t>
      </w:r>
    </w:p>
    <w:p w14:paraId="209BDAB1" w14:textId="77777777" w:rsidR="008136B6" w:rsidRPr="004F3DE9" w:rsidRDefault="008136B6" w:rsidP="008136B6">
      <w:pPr>
        <w:numPr>
          <w:ilvl w:val="0"/>
          <w:numId w:val="40"/>
        </w:numPr>
        <w:rPr>
          <w:rFonts w:ascii="Intel Clear" w:hAnsi="Intel Clear" w:cs="Intel Clear"/>
          <w:sz w:val="18"/>
          <w:szCs w:val="18"/>
          <w:lang w:eastAsia="en-GB"/>
        </w:rPr>
      </w:pPr>
      <w:r w:rsidRPr="004F3DE9">
        <w:rPr>
          <w:rFonts w:ascii="Intel Clear" w:hAnsi="Intel Clear" w:cs="Intel Clear"/>
          <w:sz w:val="18"/>
          <w:szCs w:val="18"/>
          <w:lang w:val="en-GB" w:eastAsia="en-GB"/>
        </w:rPr>
        <w:t>Rel-16 enhancement feature is definition of UE capability to support DL-only coverage spectrum for the case that the overall DL coverage is wider than 1400 MHz</w:t>
      </w:r>
    </w:p>
    <w:p w14:paraId="16218AE0" w14:textId="77777777" w:rsidR="008136B6" w:rsidRPr="004F3DE9" w:rsidRDefault="008136B6" w:rsidP="008136B6">
      <w:pPr>
        <w:numPr>
          <w:ilvl w:val="1"/>
          <w:numId w:val="40"/>
        </w:numPr>
        <w:rPr>
          <w:rFonts w:ascii="Intel Clear" w:hAnsi="Intel Clear" w:cs="Intel Clear"/>
          <w:sz w:val="18"/>
          <w:szCs w:val="18"/>
          <w:lang w:eastAsia="en-GB"/>
        </w:rPr>
      </w:pPr>
      <w:r w:rsidRPr="004F3DE9">
        <w:rPr>
          <w:rFonts w:ascii="Intel Clear" w:hAnsi="Intel Clear" w:cs="Intel Clear"/>
          <w:sz w:val="18"/>
          <w:szCs w:val="18"/>
          <w:lang w:val="en-GB" w:eastAsia="en-GB"/>
        </w:rPr>
        <w:lastRenderedPageBreak/>
        <w:t>Enhancement is in addition to common UL+DL coverage spectrum of UE carried over from rel-15</w:t>
      </w:r>
    </w:p>
    <w:p w14:paraId="28FFEBE3" w14:textId="7573F5A9" w:rsidR="008136B6" w:rsidRDefault="008136B6" w:rsidP="00B32EDD">
      <w:pPr>
        <w:rPr>
          <w:rFonts w:ascii="Arial" w:eastAsiaTheme="minorEastAsia" w:hAnsi="Arial" w:cs="Arial"/>
          <w:sz w:val="20"/>
          <w:szCs w:val="20"/>
        </w:rPr>
      </w:pPr>
      <w:r>
        <w:rPr>
          <w:rFonts w:ascii="Arial" w:eastAsiaTheme="minorEastAsia" w:hAnsi="Arial" w:cs="Arial"/>
          <w:sz w:val="20"/>
          <w:szCs w:val="20"/>
        </w:rPr>
        <w:t>…</w:t>
      </w:r>
    </w:p>
    <w:p w14:paraId="7CA43CFE" w14:textId="77777777" w:rsidR="008136B6" w:rsidRDefault="008136B6" w:rsidP="00B32EDD">
      <w:pPr>
        <w:rPr>
          <w:rFonts w:ascii="Arial" w:eastAsiaTheme="minorEastAsia" w:hAnsi="Arial" w:cs="Arial"/>
          <w:sz w:val="20"/>
          <w:szCs w:val="20"/>
        </w:rPr>
      </w:pPr>
    </w:p>
    <w:p w14:paraId="67177F5E" w14:textId="533462E2" w:rsidR="008136B6" w:rsidRDefault="008136B6" w:rsidP="00B32EDD">
      <w:pPr>
        <w:rPr>
          <w:rFonts w:ascii="Arial" w:eastAsiaTheme="minorEastAsia" w:hAnsi="Arial" w:cs="Arial"/>
          <w:sz w:val="20"/>
          <w:szCs w:val="20"/>
        </w:rPr>
      </w:pPr>
      <w:r>
        <w:rPr>
          <w:rFonts w:ascii="Arial" w:eastAsiaTheme="minorEastAsia" w:hAnsi="Arial" w:cs="Arial"/>
          <w:sz w:val="20"/>
          <w:szCs w:val="20"/>
        </w:rPr>
        <w:t>Rel-16 DL enhancement (DL-only spectrum) is in addition to common UL + DL coverage spectrum of UE carried over from rel-15</w:t>
      </w:r>
      <w:r w:rsidR="007A74EF">
        <w:rPr>
          <w:rFonts w:ascii="Arial" w:eastAsiaTheme="minorEastAsia" w:hAnsi="Arial" w:cs="Arial"/>
          <w:sz w:val="20"/>
          <w:szCs w:val="20"/>
        </w:rPr>
        <w:t xml:space="preserve"> which is only up to 1400MHz. Although theoretically in Rel-16, some UEs could have large common UL + DL coverage spectrum greater than 1400MHz, but excessive MPR is not favorable if based on CABW. The MPR penalty </w:t>
      </w:r>
      <w:r w:rsidR="00136E3B">
        <w:rPr>
          <w:rFonts w:ascii="Arial" w:eastAsiaTheme="minorEastAsia" w:hAnsi="Arial" w:cs="Arial"/>
          <w:sz w:val="20"/>
          <w:szCs w:val="20"/>
        </w:rPr>
        <w:t xml:space="preserve">from the droop </w:t>
      </w:r>
      <w:r w:rsidR="007A74EF">
        <w:rPr>
          <w:rFonts w:ascii="Arial" w:eastAsiaTheme="minorEastAsia" w:hAnsi="Arial" w:cs="Arial"/>
          <w:sz w:val="20"/>
          <w:szCs w:val="20"/>
        </w:rPr>
        <w:t xml:space="preserve">based on CABW was analyzed </w:t>
      </w:r>
      <w:r w:rsidR="00F400B3">
        <w:rPr>
          <w:rFonts w:ascii="Arial" w:eastAsiaTheme="minorEastAsia" w:hAnsi="Arial" w:cs="Arial"/>
          <w:sz w:val="20"/>
          <w:szCs w:val="20"/>
        </w:rPr>
        <w:t xml:space="preserve">in [3] </w:t>
      </w:r>
      <w:r w:rsidR="00B00EF7">
        <w:rPr>
          <w:rFonts w:ascii="Arial" w:eastAsiaTheme="minorEastAsia" w:hAnsi="Arial" w:cs="Arial"/>
          <w:sz w:val="20"/>
          <w:szCs w:val="20"/>
        </w:rPr>
        <w:t xml:space="preserve">by </w:t>
      </w:r>
      <w:r w:rsidR="00136E3B">
        <w:rPr>
          <w:rFonts w:ascii="Arial" w:eastAsiaTheme="minorEastAsia" w:hAnsi="Arial" w:cs="Arial"/>
          <w:sz w:val="20"/>
          <w:szCs w:val="20"/>
        </w:rPr>
        <w:t xml:space="preserve">comparing </w:t>
      </w:r>
      <w:r w:rsidR="008C7A3B">
        <w:rPr>
          <w:rFonts w:ascii="Arial" w:eastAsiaTheme="minorEastAsia" w:hAnsi="Arial" w:cs="Arial"/>
          <w:sz w:val="20"/>
          <w:szCs w:val="20"/>
        </w:rPr>
        <w:t xml:space="preserve">with </w:t>
      </w:r>
      <w:r w:rsidR="00136E3B">
        <w:rPr>
          <w:rFonts w:ascii="Arial" w:eastAsiaTheme="minorEastAsia" w:hAnsi="Arial" w:cs="Arial"/>
          <w:sz w:val="20"/>
          <w:szCs w:val="20"/>
        </w:rPr>
        <w:t xml:space="preserve">MPR needed for UE </w:t>
      </w:r>
      <w:r w:rsidR="008C7A3B">
        <w:rPr>
          <w:rFonts w:ascii="Arial" w:eastAsiaTheme="minorEastAsia" w:hAnsi="Arial" w:cs="Arial"/>
          <w:sz w:val="20"/>
          <w:szCs w:val="20"/>
        </w:rPr>
        <w:t>having</w:t>
      </w:r>
      <w:r w:rsidR="00F400B3">
        <w:rPr>
          <w:rFonts w:ascii="Arial" w:eastAsiaTheme="minorEastAsia" w:hAnsi="Arial" w:cs="Arial"/>
          <w:sz w:val="20"/>
          <w:szCs w:val="20"/>
        </w:rPr>
        <w:t xml:space="preserve"> separate Tx/RX LOs or fast switching LO </w:t>
      </w:r>
      <w:r w:rsidR="00136E3B">
        <w:rPr>
          <w:rFonts w:ascii="Arial" w:eastAsiaTheme="minorEastAsia" w:hAnsi="Arial" w:cs="Arial"/>
          <w:sz w:val="20"/>
          <w:szCs w:val="20"/>
        </w:rPr>
        <w:t>based on UL CA aggregated BW</w:t>
      </w:r>
      <w:r w:rsidR="00AC5549">
        <w:rPr>
          <w:rFonts w:ascii="Arial" w:eastAsiaTheme="minorEastAsia" w:hAnsi="Arial" w:cs="Arial"/>
          <w:sz w:val="20"/>
          <w:szCs w:val="20"/>
        </w:rPr>
        <w:t xml:space="preserve">. The </w:t>
      </w:r>
      <w:r w:rsidR="00F400B3">
        <w:rPr>
          <w:rFonts w:ascii="Arial" w:eastAsiaTheme="minorEastAsia" w:hAnsi="Arial" w:cs="Arial"/>
          <w:sz w:val="20"/>
          <w:szCs w:val="20"/>
        </w:rPr>
        <w:t xml:space="preserve">insights to limit excessive MPR </w:t>
      </w:r>
      <w:r w:rsidR="001D6890">
        <w:rPr>
          <w:rFonts w:ascii="Arial" w:eastAsiaTheme="minorEastAsia" w:hAnsi="Arial" w:cs="Arial"/>
          <w:sz w:val="20"/>
          <w:szCs w:val="20"/>
        </w:rPr>
        <w:t>(</w:t>
      </w:r>
      <m:oMath>
        <m:r>
          <w:rPr>
            <w:rFonts w:ascii="Cambria Math" w:eastAsiaTheme="minorEastAsia" w:hAnsi="Cambria Math" w:cs="Arial"/>
            <w:sz w:val="20"/>
            <w:szCs w:val="20"/>
          </w:rPr>
          <m:t>∆G</m:t>
        </m:r>
      </m:oMath>
      <w:r w:rsidR="001D6890">
        <w:rPr>
          <w:rFonts w:ascii="Arial" w:eastAsiaTheme="minorEastAsia" w:hAnsi="Arial" w:cs="Arial"/>
          <w:sz w:val="20"/>
          <w:szCs w:val="20"/>
        </w:rPr>
        <w:t xml:space="preserve">) </w:t>
      </w:r>
      <w:r w:rsidR="00F400B3">
        <w:rPr>
          <w:rFonts w:ascii="Arial" w:eastAsiaTheme="minorEastAsia" w:hAnsi="Arial" w:cs="Arial"/>
          <w:sz w:val="20"/>
          <w:szCs w:val="20"/>
        </w:rPr>
        <w:t xml:space="preserve">can be observed </w:t>
      </w:r>
      <w:r w:rsidR="00A91F97">
        <w:rPr>
          <w:rFonts w:ascii="Arial" w:eastAsiaTheme="minorEastAsia" w:hAnsi="Arial" w:cs="Arial"/>
          <w:sz w:val="20"/>
          <w:szCs w:val="20"/>
        </w:rPr>
        <w:t>there.</w:t>
      </w:r>
    </w:p>
    <w:p w14:paraId="2F2DBC1E" w14:textId="1701073C" w:rsidR="00A91F97" w:rsidRDefault="00A91F97" w:rsidP="00B32EDD">
      <w:pPr>
        <w:rPr>
          <w:rFonts w:ascii="Arial" w:eastAsiaTheme="minorEastAsia" w:hAnsi="Arial" w:cs="Arial"/>
          <w:sz w:val="20"/>
          <w:szCs w:val="20"/>
        </w:rPr>
      </w:pPr>
    </w:p>
    <w:p w14:paraId="1D7F415F" w14:textId="7638FF51" w:rsidR="00127172" w:rsidRDefault="00127172" w:rsidP="00B32EDD">
      <w:pPr>
        <w:rPr>
          <w:rFonts w:ascii="Arial" w:eastAsiaTheme="minorEastAsia" w:hAnsi="Arial" w:cs="Arial"/>
          <w:sz w:val="20"/>
          <w:szCs w:val="20"/>
        </w:rPr>
      </w:pPr>
      <w:r w:rsidRPr="007E6ACD">
        <w:rPr>
          <w:noProof/>
        </w:rPr>
        <w:drawing>
          <wp:inline distT="0" distB="0" distL="0" distR="0" wp14:anchorId="0F28AE67" wp14:editId="26B766C2">
            <wp:extent cx="5800725" cy="18859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cstate="print">
                      <a:extLst>
                        <a:ext uri="{28A0092B-C50C-407E-A947-70E740481C1C}">
                          <a14:useLocalDpi xmlns:a14="http://schemas.microsoft.com/office/drawing/2010/main" val="0"/>
                        </a:ext>
                      </a:extLst>
                    </a:blip>
                    <a:srcRect b="16638"/>
                    <a:stretch>
                      <a:fillRect/>
                    </a:stretch>
                  </pic:blipFill>
                  <pic:spPr bwMode="auto">
                    <a:xfrm>
                      <a:off x="0" y="0"/>
                      <a:ext cx="5800725" cy="1885950"/>
                    </a:xfrm>
                    <a:prstGeom prst="rect">
                      <a:avLst/>
                    </a:prstGeom>
                    <a:noFill/>
                    <a:ln>
                      <a:noFill/>
                    </a:ln>
                  </pic:spPr>
                </pic:pic>
              </a:graphicData>
            </a:graphic>
          </wp:inline>
        </w:drawing>
      </w:r>
    </w:p>
    <w:p w14:paraId="03A7CA01" w14:textId="2D43E3A7" w:rsidR="005556F0" w:rsidRDefault="005556F0" w:rsidP="005556F0">
      <w:pPr>
        <w:pStyle w:val="Caption"/>
        <w:jc w:val="center"/>
        <w:rPr>
          <w:rFonts w:ascii="Arial" w:eastAsiaTheme="minorEastAsia" w:hAnsi="Arial" w:cs="Arial"/>
          <w:sz w:val="20"/>
          <w:szCs w:val="20"/>
        </w:rPr>
      </w:pPr>
      <w:r>
        <w:t xml:space="preserve">Figure </w:t>
      </w:r>
      <w:fldSimple w:instr=" SEQ Figure \* ARABIC ">
        <w:r>
          <w:rPr>
            <w:noProof/>
          </w:rPr>
          <w:t>1</w:t>
        </w:r>
      </w:fldSimple>
      <w:r>
        <w:t xml:space="preserve"> MPR comparison between common LO and separate LOs</w:t>
      </w:r>
    </w:p>
    <w:p w14:paraId="1A87804D" w14:textId="4287E032" w:rsidR="00F400B3" w:rsidRDefault="001E660C" w:rsidP="001E660C">
      <w:pPr>
        <w:pStyle w:val="TH"/>
        <w:jc w:val="left"/>
        <w:rPr>
          <w:b w:val="0"/>
          <w:noProof/>
          <w:sz w:val="20"/>
          <w:szCs w:val="20"/>
        </w:rPr>
      </w:pPr>
      <w:r>
        <w:rPr>
          <w:b w:val="0"/>
          <w:noProof/>
          <w:sz w:val="20"/>
          <w:szCs w:val="20"/>
        </w:rPr>
        <w:t xml:space="preserve">It is evident that </w:t>
      </w:r>
      <w:r w:rsidR="00C239B1">
        <w:rPr>
          <w:b w:val="0"/>
          <w:noProof/>
          <w:sz w:val="20"/>
          <w:szCs w:val="20"/>
        </w:rPr>
        <w:t xml:space="preserve">in the </w:t>
      </w:r>
      <w:r w:rsidR="009D02CC">
        <w:rPr>
          <w:b w:val="0"/>
          <w:noProof/>
          <w:sz w:val="20"/>
          <w:szCs w:val="20"/>
        </w:rPr>
        <w:t xml:space="preserve">example shown in the </w:t>
      </w:r>
      <w:r w:rsidR="00703BF8">
        <w:rPr>
          <w:b w:val="0"/>
          <w:noProof/>
          <w:sz w:val="20"/>
          <w:szCs w:val="20"/>
        </w:rPr>
        <w:t>F</w:t>
      </w:r>
      <w:r w:rsidR="00C239B1">
        <w:rPr>
          <w:b w:val="0"/>
          <w:noProof/>
          <w:sz w:val="20"/>
          <w:szCs w:val="20"/>
        </w:rPr>
        <w:t xml:space="preserve">igure </w:t>
      </w:r>
      <w:r w:rsidR="00703BF8">
        <w:rPr>
          <w:b w:val="0"/>
          <w:noProof/>
          <w:sz w:val="20"/>
          <w:szCs w:val="20"/>
        </w:rPr>
        <w:t xml:space="preserve">1 </w:t>
      </w:r>
      <w:r w:rsidR="00C239B1">
        <w:rPr>
          <w:b w:val="0"/>
          <w:noProof/>
          <w:sz w:val="20"/>
          <w:szCs w:val="20"/>
        </w:rPr>
        <w:t xml:space="preserve">if UL configuration is only CC2, then </w:t>
      </w:r>
      <w:r w:rsidR="009D02CC">
        <w:rPr>
          <w:b w:val="0"/>
          <w:noProof/>
          <w:sz w:val="20"/>
          <w:szCs w:val="20"/>
        </w:rPr>
        <w:t xml:space="preserve">UEs with </w:t>
      </w:r>
      <w:r w:rsidR="00C239B1">
        <w:rPr>
          <w:b w:val="0"/>
          <w:noProof/>
          <w:sz w:val="20"/>
          <w:szCs w:val="20"/>
        </w:rPr>
        <w:t xml:space="preserve">UL LO centered at CC2 can have less MPR as much as </w:t>
      </w:r>
      <m:oMath>
        <m:r>
          <m:rPr>
            <m:sty m:val="bi"/>
          </m:rPr>
          <w:rPr>
            <w:rFonts w:ascii="Cambria Math" w:hAnsi="Cambria Math"/>
            <w:noProof/>
            <w:sz w:val="20"/>
            <w:szCs w:val="20"/>
          </w:rPr>
          <m:t>∆G</m:t>
        </m:r>
      </m:oMath>
      <w:r w:rsidR="009D02CC">
        <w:rPr>
          <w:rFonts w:eastAsiaTheme="minorEastAsia"/>
          <w:b w:val="0"/>
          <w:noProof/>
          <w:sz w:val="20"/>
          <w:szCs w:val="20"/>
        </w:rPr>
        <w:t xml:space="preserve"> due to smaller droop comparing to large droop </w:t>
      </w:r>
      <w:r w:rsidR="00BA147D">
        <w:rPr>
          <w:rFonts w:eastAsiaTheme="minorEastAsia"/>
          <w:b w:val="0"/>
          <w:noProof/>
          <w:sz w:val="20"/>
          <w:szCs w:val="20"/>
        </w:rPr>
        <w:t>introduced by</w:t>
      </w:r>
      <w:r w:rsidR="009D02CC">
        <w:rPr>
          <w:rFonts w:eastAsiaTheme="minorEastAsia"/>
          <w:b w:val="0"/>
          <w:noProof/>
          <w:sz w:val="20"/>
          <w:szCs w:val="20"/>
        </w:rPr>
        <w:t xml:space="preserve"> common LO centered in the middle of freqency span from left edge of CC1 to right edge of CC2. </w:t>
      </w:r>
    </w:p>
    <w:p w14:paraId="699D09B3" w14:textId="5D47D675" w:rsidR="001E660C" w:rsidRDefault="001E660C" w:rsidP="001E660C">
      <w:pPr>
        <w:pStyle w:val="TH"/>
        <w:jc w:val="left"/>
        <w:rPr>
          <w:b w:val="0"/>
          <w:noProof/>
          <w:sz w:val="20"/>
          <w:szCs w:val="20"/>
        </w:rPr>
      </w:pPr>
    </w:p>
    <w:p w14:paraId="7905D51D" w14:textId="38515A21" w:rsidR="009D02CC" w:rsidRDefault="001F082A" w:rsidP="001E660C">
      <w:pPr>
        <w:pStyle w:val="TH"/>
        <w:jc w:val="left"/>
        <w:rPr>
          <w:b w:val="0"/>
          <w:noProof/>
          <w:sz w:val="20"/>
          <w:szCs w:val="20"/>
        </w:rPr>
      </w:pPr>
      <w:r>
        <w:rPr>
          <w:b w:val="0"/>
          <w:noProof/>
          <w:sz w:val="20"/>
          <w:szCs w:val="20"/>
        </w:rPr>
        <w:t xml:space="preserve">In Rel-16, </w:t>
      </w:r>
      <w:r w:rsidR="001A3CD2">
        <w:rPr>
          <w:b w:val="0"/>
          <w:noProof/>
          <w:sz w:val="20"/>
          <w:szCs w:val="20"/>
        </w:rPr>
        <w:t xml:space="preserve">it is not preferred to have </w:t>
      </w:r>
      <w:r>
        <w:rPr>
          <w:b w:val="0"/>
          <w:noProof/>
          <w:sz w:val="20"/>
          <w:szCs w:val="20"/>
        </w:rPr>
        <w:t>further</w:t>
      </w:r>
      <w:r w:rsidR="001A3CD2">
        <w:rPr>
          <w:b w:val="0"/>
          <w:noProof/>
          <w:sz w:val="20"/>
          <w:szCs w:val="20"/>
        </w:rPr>
        <w:t xml:space="preserve"> </w:t>
      </w:r>
      <w:r>
        <w:rPr>
          <w:b w:val="0"/>
          <w:noProof/>
          <w:sz w:val="20"/>
          <w:szCs w:val="20"/>
        </w:rPr>
        <w:t xml:space="preserve">degradatoin on MPR </w:t>
      </w:r>
      <w:r w:rsidR="001A3CD2">
        <w:rPr>
          <w:b w:val="0"/>
          <w:noProof/>
          <w:sz w:val="20"/>
          <w:szCs w:val="20"/>
        </w:rPr>
        <w:t>when CABW</w:t>
      </w:r>
      <w:r>
        <w:rPr>
          <w:b w:val="0"/>
          <w:noProof/>
          <w:sz w:val="20"/>
          <w:szCs w:val="20"/>
        </w:rPr>
        <w:t xml:space="preserve"> </w:t>
      </w:r>
      <w:r w:rsidR="00390A82">
        <w:rPr>
          <w:b w:val="0"/>
          <w:noProof/>
          <w:sz w:val="20"/>
          <w:szCs w:val="20"/>
        </w:rPr>
        <w:t>&gt; 1400MHz</w:t>
      </w:r>
      <w:r w:rsidR="000B673A">
        <w:rPr>
          <w:b w:val="0"/>
          <w:noProof/>
          <w:sz w:val="20"/>
          <w:szCs w:val="20"/>
        </w:rPr>
        <w:t xml:space="preserve"> sicne UL CA BW is limited </w:t>
      </w:r>
      <w:r w:rsidR="00055C61">
        <w:rPr>
          <w:b w:val="0"/>
          <w:noProof/>
          <w:sz w:val="20"/>
          <w:szCs w:val="20"/>
        </w:rPr>
        <w:t>up to 1400MHz only. W</w:t>
      </w:r>
      <w:r w:rsidR="009C3346">
        <w:rPr>
          <w:b w:val="0"/>
          <w:noProof/>
          <w:sz w:val="20"/>
          <w:szCs w:val="20"/>
        </w:rPr>
        <w:t xml:space="preserve">e propose that </w:t>
      </w:r>
      <w:r w:rsidR="001A3CD2">
        <w:rPr>
          <w:b w:val="0"/>
          <w:noProof/>
          <w:sz w:val="20"/>
          <w:szCs w:val="20"/>
        </w:rPr>
        <w:t xml:space="preserve">when CABW is greater than 1400MHz, MPR should keep flat beyond 1400MHz by using MPR values for the freqency range  800MHz </w:t>
      </w:r>
      <w:r w:rsidR="001A3CD2" w:rsidRPr="00036F26">
        <w:rPr>
          <w:rFonts w:cs="Arial"/>
          <w:b w:val="0"/>
        </w:rPr>
        <w:t>≤</w:t>
      </w:r>
      <w:r w:rsidR="001A3CD2">
        <w:rPr>
          <w:b w:val="0"/>
          <w:noProof/>
          <w:sz w:val="20"/>
          <w:szCs w:val="20"/>
        </w:rPr>
        <w:t xml:space="preserve"> CABW </w:t>
      </w:r>
      <w:r w:rsidR="001A3CD2" w:rsidRPr="00036F26">
        <w:rPr>
          <w:rFonts w:cs="Arial"/>
          <w:b w:val="0"/>
        </w:rPr>
        <w:t>≤</w:t>
      </w:r>
      <w:r w:rsidR="001A3CD2">
        <w:rPr>
          <w:rFonts w:cs="Arial"/>
          <w:b w:val="0"/>
        </w:rPr>
        <w:t xml:space="preserve"> </w:t>
      </w:r>
      <w:r w:rsidR="001A3CD2">
        <w:rPr>
          <w:b w:val="0"/>
          <w:noProof/>
          <w:sz w:val="20"/>
          <w:szCs w:val="20"/>
        </w:rPr>
        <w:t xml:space="preserve">1400MHz. </w:t>
      </w:r>
      <w:r w:rsidR="009D02CC">
        <w:rPr>
          <w:b w:val="0"/>
          <w:noProof/>
          <w:sz w:val="20"/>
          <w:szCs w:val="20"/>
        </w:rPr>
        <w:t>Please note, the current MPR mach</w:t>
      </w:r>
      <w:r w:rsidR="007A61D2">
        <w:rPr>
          <w:b w:val="0"/>
          <w:noProof/>
          <w:sz w:val="20"/>
          <w:szCs w:val="20"/>
        </w:rPr>
        <w:t>a</w:t>
      </w:r>
      <w:r w:rsidR="009D02CC">
        <w:rPr>
          <w:b w:val="0"/>
          <w:noProof/>
          <w:sz w:val="20"/>
          <w:szCs w:val="20"/>
        </w:rPr>
        <w:t xml:space="preserve">nism </w:t>
      </w:r>
      <w:r w:rsidR="001A3CD2">
        <w:rPr>
          <w:b w:val="0"/>
          <w:noProof/>
          <w:sz w:val="20"/>
          <w:szCs w:val="20"/>
        </w:rPr>
        <w:t xml:space="preserve">based on CABW </w:t>
      </w:r>
      <w:r w:rsidR="007A61D2">
        <w:rPr>
          <w:b w:val="0"/>
          <w:noProof/>
          <w:sz w:val="20"/>
          <w:szCs w:val="20"/>
        </w:rPr>
        <w:t>in R</w:t>
      </w:r>
      <w:r w:rsidR="00BE4128">
        <w:rPr>
          <w:b w:val="0"/>
          <w:noProof/>
          <w:sz w:val="20"/>
          <w:szCs w:val="20"/>
        </w:rPr>
        <w:t>el</w:t>
      </w:r>
      <w:r w:rsidR="007A61D2">
        <w:rPr>
          <w:b w:val="0"/>
          <w:noProof/>
          <w:sz w:val="20"/>
          <w:szCs w:val="20"/>
        </w:rPr>
        <w:t xml:space="preserve">-15 </w:t>
      </w:r>
      <w:r w:rsidR="001A3CD2">
        <w:rPr>
          <w:b w:val="0"/>
          <w:noProof/>
          <w:sz w:val="20"/>
          <w:szCs w:val="20"/>
        </w:rPr>
        <w:t xml:space="preserve">is still valid and has no changes. </w:t>
      </w:r>
      <w:r w:rsidR="00BE4128">
        <w:rPr>
          <w:b w:val="0"/>
          <w:noProof/>
          <w:sz w:val="20"/>
          <w:szCs w:val="20"/>
        </w:rPr>
        <w:t xml:space="preserve">The improvement is on </w:t>
      </w:r>
      <w:r w:rsidR="000B673A">
        <w:rPr>
          <w:b w:val="0"/>
          <w:noProof/>
          <w:sz w:val="20"/>
          <w:szCs w:val="20"/>
        </w:rPr>
        <w:t>frequency range CABW&gt;1400MHz only.</w:t>
      </w:r>
    </w:p>
    <w:p w14:paraId="7218C066" w14:textId="77777777" w:rsidR="001E660C" w:rsidRPr="001E660C" w:rsidRDefault="001E660C" w:rsidP="001E660C">
      <w:pPr>
        <w:pStyle w:val="TH"/>
        <w:jc w:val="left"/>
        <w:rPr>
          <w:b w:val="0"/>
          <w:noProof/>
          <w:sz w:val="20"/>
          <w:szCs w:val="20"/>
        </w:rPr>
      </w:pPr>
    </w:p>
    <w:p w14:paraId="0B93A1B0" w14:textId="2CBB8D79" w:rsidR="00136E3B" w:rsidRPr="00036F26" w:rsidRDefault="00A91F97" w:rsidP="00B32EDD">
      <w:pPr>
        <w:rPr>
          <w:rFonts w:ascii="Arial" w:eastAsiaTheme="minorEastAsia" w:hAnsi="Arial" w:cs="Arial"/>
          <w:b/>
          <w:sz w:val="20"/>
          <w:szCs w:val="20"/>
        </w:rPr>
      </w:pPr>
      <w:r w:rsidRPr="00036F26">
        <w:rPr>
          <w:rFonts w:ascii="Arial" w:eastAsiaTheme="minorEastAsia" w:hAnsi="Arial" w:cs="Arial"/>
          <w:b/>
          <w:sz w:val="20"/>
          <w:szCs w:val="20"/>
        </w:rPr>
        <w:t xml:space="preserve">Proposal: </w:t>
      </w:r>
      <w:r w:rsidR="007A61D2" w:rsidRPr="00036F26">
        <w:rPr>
          <w:rFonts w:ascii="Arial" w:eastAsiaTheme="minorEastAsia" w:hAnsi="Arial" w:cs="Arial"/>
          <w:b/>
          <w:sz w:val="20"/>
          <w:szCs w:val="20"/>
        </w:rPr>
        <w:t>In Rel-16</w:t>
      </w:r>
      <w:r w:rsidR="00036F26" w:rsidRPr="00036F26">
        <w:rPr>
          <w:rFonts w:ascii="Arial" w:eastAsiaTheme="minorEastAsia" w:hAnsi="Arial" w:cs="Arial"/>
          <w:b/>
          <w:sz w:val="20"/>
          <w:szCs w:val="20"/>
        </w:rPr>
        <w:t xml:space="preserve"> for both UL contiguous and non-contiguous CA, MPR values for 1400MHz &lt;CABW </w:t>
      </w:r>
      <w:r w:rsidR="00036F26" w:rsidRPr="00036F26">
        <w:rPr>
          <w:rFonts w:cs="Arial"/>
          <w:b/>
        </w:rPr>
        <w:t>≤</w:t>
      </w:r>
      <w:r w:rsidR="00036F26" w:rsidRPr="00036F26">
        <w:rPr>
          <w:b/>
        </w:rPr>
        <w:t xml:space="preserve"> </w:t>
      </w:r>
      <w:r w:rsidR="00036F26" w:rsidRPr="00036F26">
        <w:rPr>
          <w:rFonts w:ascii="Arial" w:eastAsiaTheme="minorEastAsia" w:hAnsi="Arial" w:cs="Arial"/>
          <w:b/>
          <w:sz w:val="20"/>
          <w:szCs w:val="20"/>
        </w:rPr>
        <w:t xml:space="preserve">2400MHz should be kept the same </w:t>
      </w:r>
      <w:r w:rsidR="000B673A">
        <w:rPr>
          <w:rFonts w:ascii="Arial" w:eastAsiaTheme="minorEastAsia" w:hAnsi="Arial" w:cs="Arial"/>
          <w:b/>
          <w:sz w:val="20"/>
          <w:szCs w:val="20"/>
        </w:rPr>
        <w:t xml:space="preserve">with </w:t>
      </w:r>
      <w:r w:rsidR="00ED4E1C">
        <w:rPr>
          <w:rFonts w:ascii="Arial" w:eastAsiaTheme="minorEastAsia" w:hAnsi="Arial" w:cs="Arial"/>
          <w:b/>
          <w:sz w:val="20"/>
          <w:szCs w:val="20"/>
        </w:rPr>
        <w:t xml:space="preserve">their corresponding </w:t>
      </w:r>
      <w:r w:rsidR="00036F26" w:rsidRPr="00036F26">
        <w:rPr>
          <w:rFonts w:ascii="Arial" w:eastAsiaTheme="minorEastAsia" w:hAnsi="Arial" w:cs="Arial"/>
          <w:b/>
          <w:sz w:val="20"/>
          <w:szCs w:val="20"/>
        </w:rPr>
        <w:t xml:space="preserve">MPR values for 800MHz </w:t>
      </w:r>
      <w:r w:rsidR="00036F26" w:rsidRPr="00036F26">
        <w:rPr>
          <w:rFonts w:cs="Arial"/>
          <w:b/>
        </w:rPr>
        <w:t>≤</w:t>
      </w:r>
      <w:r w:rsidR="00036F26" w:rsidRPr="00036F26">
        <w:rPr>
          <w:b/>
        </w:rPr>
        <w:t xml:space="preserve"> </w:t>
      </w:r>
      <w:r w:rsidR="00036F26" w:rsidRPr="00036F26">
        <w:rPr>
          <w:rFonts w:ascii="Arial" w:eastAsiaTheme="minorEastAsia" w:hAnsi="Arial" w:cs="Arial"/>
          <w:b/>
          <w:sz w:val="20"/>
          <w:szCs w:val="20"/>
        </w:rPr>
        <w:t xml:space="preserve">CABW </w:t>
      </w:r>
      <w:r w:rsidR="00036F26" w:rsidRPr="00036F26">
        <w:rPr>
          <w:rFonts w:cs="Arial"/>
          <w:b/>
        </w:rPr>
        <w:t>≤</w:t>
      </w:r>
      <w:r w:rsidR="00036F26" w:rsidRPr="00036F26">
        <w:rPr>
          <w:b/>
        </w:rPr>
        <w:t xml:space="preserve"> </w:t>
      </w:r>
      <w:r w:rsidR="00036F26" w:rsidRPr="00036F26">
        <w:rPr>
          <w:rFonts w:ascii="Arial" w:eastAsiaTheme="minorEastAsia" w:hAnsi="Arial" w:cs="Arial"/>
          <w:b/>
          <w:sz w:val="20"/>
          <w:szCs w:val="20"/>
        </w:rPr>
        <w:t>1400MHz</w:t>
      </w:r>
      <w:r w:rsidR="000B673A">
        <w:rPr>
          <w:rFonts w:ascii="Arial" w:eastAsiaTheme="minorEastAsia" w:hAnsi="Arial" w:cs="Arial"/>
          <w:b/>
          <w:sz w:val="20"/>
          <w:szCs w:val="20"/>
        </w:rPr>
        <w:t xml:space="preserve">. </w:t>
      </w:r>
    </w:p>
    <w:p w14:paraId="6B9119E2" w14:textId="77777777" w:rsidR="00F400B3" w:rsidRDefault="00F400B3" w:rsidP="00B32EDD">
      <w:pPr>
        <w:rPr>
          <w:rFonts w:ascii="Arial" w:eastAsiaTheme="minorEastAsia" w:hAnsi="Arial" w:cs="Arial"/>
          <w:sz w:val="20"/>
          <w:szCs w:val="20"/>
        </w:rPr>
      </w:pPr>
    </w:p>
    <w:p w14:paraId="42AF4426" w14:textId="5D219911" w:rsidR="00EE4489" w:rsidRDefault="0069757C" w:rsidP="00EE4489">
      <w:pPr>
        <w:pStyle w:val="Heading1"/>
      </w:pPr>
      <w:r w:rsidRPr="002D78E7">
        <w:t>Conclusion</w:t>
      </w:r>
    </w:p>
    <w:p w14:paraId="0A13FB1A" w14:textId="4B23225D" w:rsidR="00831277" w:rsidRDefault="00D87A50" w:rsidP="00831277">
      <w:pPr>
        <w:rPr>
          <w:rFonts w:ascii="Arial" w:eastAsiaTheme="minorEastAsia" w:hAnsi="Arial" w:cs="Arial"/>
          <w:sz w:val="20"/>
          <w:szCs w:val="20"/>
        </w:rPr>
      </w:pPr>
      <w:r>
        <w:rPr>
          <w:rFonts w:ascii="Arial" w:hAnsi="Arial" w:cs="Arial"/>
          <w:sz w:val="20"/>
          <w:szCs w:val="20"/>
        </w:rPr>
        <w:t>In this contribution, we see it is necessary to improve the MPR when CABW beyond 1400MHz in Rel-16. Further increasing MPR in the range 1400MHz&lt;CABW</w:t>
      </w:r>
      <w:r w:rsidRPr="00D87A50">
        <w:rPr>
          <w:rFonts w:cs="Arial"/>
        </w:rPr>
        <w:t>≤</w:t>
      </w:r>
      <w:r w:rsidRPr="00D87A50">
        <w:t xml:space="preserve"> </w:t>
      </w:r>
      <w:r w:rsidRPr="00D87A50">
        <w:rPr>
          <w:rFonts w:ascii="Arial" w:eastAsiaTheme="minorEastAsia" w:hAnsi="Arial" w:cs="Arial"/>
          <w:sz w:val="20"/>
          <w:szCs w:val="20"/>
        </w:rPr>
        <w:t>2400MHz</w:t>
      </w:r>
      <w:r>
        <w:rPr>
          <w:rFonts w:ascii="Arial" w:eastAsiaTheme="minorEastAsia" w:hAnsi="Arial" w:cs="Arial"/>
          <w:sz w:val="20"/>
          <w:szCs w:val="20"/>
        </w:rPr>
        <w:t xml:space="preserve"> has negative impact on system performance. </w:t>
      </w:r>
      <w:r w:rsidR="00CD33E9">
        <w:rPr>
          <w:rFonts w:ascii="Arial" w:eastAsiaTheme="minorEastAsia" w:hAnsi="Arial" w:cs="Arial"/>
          <w:sz w:val="20"/>
          <w:szCs w:val="20"/>
        </w:rPr>
        <w:t>So we have following proposal:</w:t>
      </w:r>
    </w:p>
    <w:p w14:paraId="4B737AC8" w14:textId="283A1C2E" w:rsidR="00ED4E1C" w:rsidRDefault="00ED4E1C" w:rsidP="00831277">
      <w:pPr>
        <w:rPr>
          <w:rFonts w:ascii="Arial" w:eastAsiaTheme="minorEastAsia" w:hAnsi="Arial" w:cs="Arial"/>
          <w:sz w:val="20"/>
          <w:szCs w:val="20"/>
        </w:rPr>
      </w:pPr>
    </w:p>
    <w:p w14:paraId="341DD16D" w14:textId="130BB5CB" w:rsidR="00ED4E1C" w:rsidRPr="00036F26" w:rsidRDefault="00ED4E1C" w:rsidP="00ED4E1C">
      <w:pPr>
        <w:rPr>
          <w:rFonts w:ascii="Arial" w:eastAsiaTheme="minorEastAsia" w:hAnsi="Arial" w:cs="Arial"/>
          <w:b/>
          <w:sz w:val="20"/>
          <w:szCs w:val="20"/>
        </w:rPr>
      </w:pPr>
      <w:r w:rsidRPr="00036F26">
        <w:rPr>
          <w:rFonts w:ascii="Arial" w:eastAsiaTheme="minorEastAsia" w:hAnsi="Arial" w:cs="Arial"/>
          <w:b/>
          <w:sz w:val="20"/>
          <w:szCs w:val="20"/>
        </w:rPr>
        <w:t xml:space="preserve">Proposal: In Rel-16 for both UL contiguous and non-contiguous CA, MPR values for 1400MHz &lt;CABW </w:t>
      </w:r>
      <w:r w:rsidRPr="00036F26">
        <w:rPr>
          <w:rFonts w:cs="Arial"/>
          <w:b/>
        </w:rPr>
        <w:t>≤</w:t>
      </w:r>
      <w:r w:rsidRPr="00036F26">
        <w:rPr>
          <w:b/>
        </w:rPr>
        <w:t xml:space="preserve"> </w:t>
      </w:r>
      <w:r w:rsidRPr="00036F26">
        <w:rPr>
          <w:rFonts w:ascii="Arial" w:eastAsiaTheme="minorEastAsia" w:hAnsi="Arial" w:cs="Arial"/>
          <w:b/>
          <w:sz w:val="20"/>
          <w:szCs w:val="20"/>
        </w:rPr>
        <w:t xml:space="preserve">2400MHz should be kept the same </w:t>
      </w:r>
      <w:r>
        <w:rPr>
          <w:rFonts w:ascii="Arial" w:eastAsiaTheme="minorEastAsia" w:hAnsi="Arial" w:cs="Arial"/>
          <w:b/>
          <w:sz w:val="20"/>
          <w:szCs w:val="20"/>
        </w:rPr>
        <w:t xml:space="preserve">with their corresponding </w:t>
      </w:r>
      <w:r w:rsidRPr="00036F26">
        <w:rPr>
          <w:rFonts w:ascii="Arial" w:eastAsiaTheme="minorEastAsia" w:hAnsi="Arial" w:cs="Arial"/>
          <w:b/>
          <w:sz w:val="20"/>
          <w:szCs w:val="20"/>
        </w:rPr>
        <w:t xml:space="preserve">MPR values for 800MHz </w:t>
      </w:r>
      <w:r w:rsidRPr="00036F26">
        <w:rPr>
          <w:rFonts w:cs="Arial"/>
          <w:b/>
        </w:rPr>
        <w:t>≤</w:t>
      </w:r>
      <w:r w:rsidRPr="00036F26">
        <w:rPr>
          <w:b/>
        </w:rPr>
        <w:t xml:space="preserve"> </w:t>
      </w:r>
      <w:r w:rsidRPr="00036F26">
        <w:rPr>
          <w:rFonts w:ascii="Arial" w:eastAsiaTheme="minorEastAsia" w:hAnsi="Arial" w:cs="Arial"/>
          <w:b/>
          <w:sz w:val="20"/>
          <w:szCs w:val="20"/>
        </w:rPr>
        <w:t xml:space="preserve">CABW </w:t>
      </w:r>
      <w:r w:rsidRPr="00036F26">
        <w:rPr>
          <w:rFonts w:cs="Arial"/>
          <w:b/>
        </w:rPr>
        <w:t>≤</w:t>
      </w:r>
      <w:r w:rsidRPr="00036F26">
        <w:rPr>
          <w:b/>
        </w:rPr>
        <w:t xml:space="preserve"> </w:t>
      </w:r>
      <w:r w:rsidRPr="00036F26">
        <w:rPr>
          <w:rFonts w:ascii="Arial" w:eastAsiaTheme="minorEastAsia" w:hAnsi="Arial" w:cs="Arial"/>
          <w:b/>
          <w:sz w:val="20"/>
          <w:szCs w:val="20"/>
        </w:rPr>
        <w:t>1400MHz</w:t>
      </w:r>
      <w:r>
        <w:rPr>
          <w:rFonts w:ascii="Arial" w:eastAsiaTheme="minorEastAsia" w:hAnsi="Arial" w:cs="Arial"/>
          <w:b/>
          <w:sz w:val="20"/>
          <w:szCs w:val="20"/>
        </w:rPr>
        <w:t xml:space="preserve">. </w:t>
      </w:r>
    </w:p>
    <w:p w14:paraId="5857DC2A" w14:textId="77777777" w:rsidR="00ED4E1C" w:rsidRPr="00D87A50" w:rsidRDefault="00ED4E1C"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77331416" w14:textId="7742B591" w:rsidR="002876AB" w:rsidRPr="00F400B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[1] R</w:t>
      </w:r>
      <w:r w:rsidR="007A74EF" w:rsidRPr="00F400B3">
        <w:rPr>
          <w:rFonts w:ascii="Arial" w:hAnsi="Arial" w:cs="Arial"/>
          <w:bCs/>
          <w:sz w:val="20"/>
          <w:szCs w:val="20"/>
        </w:rPr>
        <w:t>AN4#92 chairman note</w:t>
      </w:r>
    </w:p>
    <w:p w14:paraId="7061A3B2" w14:textId="5C753A10" w:rsidR="00084193" w:rsidRPr="00F400B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[2] </w:t>
      </w:r>
      <w:r w:rsidR="007A74EF" w:rsidRPr="00F400B3">
        <w:rPr>
          <w:rFonts w:ascii="Arial" w:hAnsi="Arial" w:cs="Arial"/>
          <w:bCs/>
          <w:sz w:val="20"/>
          <w:szCs w:val="20"/>
        </w:rPr>
        <w:t>R4-1913042</w:t>
      </w:r>
      <w:r w:rsidRPr="00F400B3">
        <w:rPr>
          <w:rFonts w:ascii="Arial" w:hAnsi="Arial" w:cs="Arial"/>
          <w:bCs/>
          <w:sz w:val="20"/>
          <w:szCs w:val="20"/>
        </w:rPr>
        <w:t>, “</w:t>
      </w:r>
      <w:r w:rsidR="007A74EF" w:rsidRPr="00F400B3">
        <w:rPr>
          <w:rFonts w:ascii="Arial" w:hAnsi="Arial" w:cs="Arial"/>
          <w:sz w:val="20"/>
          <w:szCs w:val="20"/>
        </w:rPr>
        <w:t>WF on DL Intra-band CA BW Enhancement</w:t>
      </w:r>
      <w:r w:rsidRPr="00F400B3">
        <w:rPr>
          <w:rFonts w:ascii="Arial" w:hAnsi="Arial" w:cs="Arial"/>
          <w:bCs/>
          <w:sz w:val="20"/>
          <w:szCs w:val="20"/>
        </w:rPr>
        <w:t xml:space="preserve">”, </w:t>
      </w:r>
      <w:r w:rsidR="007A74EF" w:rsidRPr="00F400B3">
        <w:rPr>
          <w:rFonts w:ascii="Arial" w:hAnsi="Arial" w:cs="Arial"/>
          <w:bCs/>
          <w:sz w:val="20"/>
          <w:szCs w:val="20"/>
        </w:rPr>
        <w:t>Qualcomm</w:t>
      </w:r>
      <w:r w:rsidRPr="00F400B3">
        <w:rPr>
          <w:rFonts w:ascii="Arial" w:hAnsi="Arial" w:cs="Arial"/>
          <w:bCs/>
          <w:sz w:val="20"/>
          <w:szCs w:val="20"/>
        </w:rPr>
        <w:t>, RAN4#92bis</w:t>
      </w:r>
    </w:p>
    <w:p w14:paraId="18414CA2" w14:textId="5632945E" w:rsidR="007A74EF" w:rsidRPr="00F400B3" w:rsidRDefault="007A74EF"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[3] </w:t>
      </w:r>
      <w:r w:rsidR="00136E3B" w:rsidRPr="00F400B3">
        <w:rPr>
          <w:rFonts w:ascii="Arial" w:hAnsi="Arial" w:cs="Arial"/>
          <w:bCs/>
          <w:sz w:val="20"/>
          <w:szCs w:val="20"/>
        </w:rPr>
        <w:t>38.817-1, v16.1.0</w:t>
      </w:r>
    </w:p>
    <w:sectPr w:rsidR="007A74EF" w:rsidRPr="00F400B3"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404AD" w14:textId="77777777" w:rsidR="008765A6" w:rsidRDefault="008765A6">
      <w:r>
        <w:separator/>
      </w:r>
    </w:p>
  </w:endnote>
  <w:endnote w:type="continuationSeparator" w:id="0">
    <w:p w14:paraId="7CCA988F" w14:textId="77777777" w:rsidR="008765A6" w:rsidRDefault="0087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FE42E0" w:rsidRDefault="00FE42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FE42E0" w:rsidRDefault="00FE42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FE42E0" w:rsidRDefault="00FE42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1F77">
      <w:rPr>
        <w:rStyle w:val="PageNumber"/>
      </w:rPr>
      <w:t>4</w:t>
    </w:r>
    <w:r>
      <w:rPr>
        <w:rStyle w:val="PageNumber"/>
      </w:rPr>
      <w:fldChar w:fldCharType="end"/>
    </w:r>
  </w:p>
  <w:p w14:paraId="1BA570F2" w14:textId="77777777" w:rsidR="00FE42E0" w:rsidRDefault="00FE42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F94FF" w14:textId="77777777" w:rsidR="008765A6" w:rsidRDefault="008765A6">
      <w:r>
        <w:separator/>
      </w:r>
    </w:p>
  </w:footnote>
  <w:footnote w:type="continuationSeparator" w:id="0">
    <w:p w14:paraId="06D9BDAA" w14:textId="77777777" w:rsidR="008765A6" w:rsidRDefault="00876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35"/>
  </w:num>
  <w:num w:numId="4">
    <w:abstractNumId w:val="26"/>
  </w:num>
  <w:num w:numId="5">
    <w:abstractNumId w:val="15"/>
  </w:num>
  <w:num w:numId="6">
    <w:abstractNumId w:val="5"/>
  </w:num>
  <w:num w:numId="7">
    <w:abstractNumId w:val="31"/>
  </w:num>
  <w:num w:numId="8">
    <w:abstractNumId w:val="16"/>
  </w:num>
  <w:num w:numId="9">
    <w:abstractNumId w:val="22"/>
  </w:num>
  <w:num w:numId="10">
    <w:abstractNumId w:val="38"/>
  </w:num>
  <w:num w:numId="11">
    <w:abstractNumId w:val="14"/>
  </w:num>
  <w:num w:numId="12">
    <w:abstractNumId w:val="10"/>
  </w:num>
  <w:num w:numId="13">
    <w:abstractNumId w:val="30"/>
  </w:num>
  <w:num w:numId="14">
    <w:abstractNumId w:val="36"/>
  </w:num>
  <w:num w:numId="15">
    <w:abstractNumId w:val="6"/>
  </w:num>
  <w:num w:numId="16">
    <w:abstractNumId w:val="27"/>
  </w:num>
  <w:num w:numId="17">
    <w:abstractNumId w:val="8"/>
  </w:num>
  <w:num w:numId="18">
    <w:abstractNumId w:val="3"/>
  </w:num>
  <w:num w:numId="19">
    <w:abstractNumId w:val="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7"/>
  </w:num>
  <w:num w:numId="23">
    <w:abstractNumId w:val="12"/>
  </w:num>
  <w:num w:numId="24">
    <w:abstractNumId w:val="29"/>
  </w:num>
  <w:num w:numId="25">
    <w:abstractNumId w:val="4"/>
  </w:num>
  <w:num w:numId="26">
    <w:abstractNumId w:val="33"/>
  </w:num>
  <w:num w:numId="27">
    <w:abstractNumId w:val="37"/>
  </w:num>
  <w:num w:numId="28">
    <w:abstractNumId w:val="1"/>
  </w:num>
  <w:num w:numId="29">
    <w:abstractNumId w:val="25"/>
  </w:num>
  <w:num w:numId="30">
    <w:abstractNumId w:val="34"/>
  </w:num>
  <w:num w:numId="31">
    <w:abstractNumId w:val="2"/>
  </w:num>
  <w:num w:numId="32">
    <w:abstractNumId w:val="23"/>
  </w:num>
  <w:num w:numId="33">
    <w:abstractNumId w:val="28"/>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0"/>
  </w:num>
  <w:num w:numId="36">
    <w:abstractNumId w:val="7"/>
  </w:num>
  <w:num w:numId="37">
    <w:abstractNumId w:val="24"/>
  </w:num>
  <w:num w:numId="38">
    <w:abstractNumId w:val="13"/>
  </w:num>
  <w:num w:numId="39">
    <w:abstractNumId w:val="21"/>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76A7"/>
    <w:rsid w:val="00497C35"/>
    <w:rsid w:val="00497DF8"/>
    <w:rsid w:val="004A038E"/>
    <w:rsid w:val="004A04FB"/>
    <w:rsid w:val="004A0745"/>
    <w:rsid w:val="004A0C9C"/>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6F0"/>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FD6CE-0C82-4A2C-B0CF-6B664CAAC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1132</TotalTime>
  <Pages>2</Pages>
  <Words>703</Words>
  <Characters>3335</Characters>
  <Application>Microsoft Office Word</Application>
  <DocSecurity>0</DocSecurity>
  <Lines>75</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46</cp:revision>
  <cp:lastPrinted>2019-04-07T08:48:00Z</cp:lastPrinted>
  <dcterms:created xsi:type="dcterms:W3CDTF">2019-11-07T20:53:00Z</dcterms:created>
  <dcterms:modified xsi:type="dcterms:W3CDTF">2020-04-09T21:38:00Z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374ccdae-02e4-4d57-9d50-1b675eb50d3c</vt:lpwstr>
  </property>
  <property fmtid="{D5CDD505-2E9C-101B-9397-08002B2CF9AE}" pid="12" name="CTP_BU">
    <vt:lpwstr>TSCG CENTRAL GROUP</vt:lpwstr>
  </property>
  <property fmtid="{D5CDD505-2E9C-101B-9397-08002B2CF9AE}" pid="13" name="CTP_TimeStamp">
    <vt:lpwstr>2020-04-09 21:38:31Z</vt:lpwstr>
  </property>
  <property fmtid="{D5CDD505-2E9C-101B-9397-08002B2CF9AE}" pid="14" name="_ReviewingToolsShownOnce">
    <vt:lpwstr/>
  </property>
  <property fmtid="{D5CDD505-2E9C-101B-9397-08002B2CF9AE}" pid="15" name="CTPClassification">
    <vt:lpwstr>CTP_IC</vt:lpwstr>
  </property>
</Properties>
</file>